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5B" w:rsidRPr="00D11218" w:rsidRDefault="00C93C5B" w:rsidP="00C93C5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11218">
        <w:rPr>
          <w:b/>
          <w:sz w:val="28"/>
          <w:szCs w:val="28"/>
          <w:lang w:val="uk-UA"/>
        </w:rPr>
        <w:t>Звіт про результати базового відстеження</w:t>
      </w:r>
    </w:p>
    <w:p w:rsidR="00C93C5B" w:rsidRPr="009E465C" w:rsidRDefault="00C93C5B" w:rsidP="00C93C5B">
      <w:pPr>
        <w:jc w:val="center"/>
        <w:rPr>
          <w:b/>
          <w:sz w:val="27"/>
          <w:szCs w:val="27"/>
          <w:lang w:val="uk-UA"/>
        </w:rPr>
      </w:pPr>
    </w:p>
    <w:p w:rsidR="00056352" w:rsidRPr="00FC0A95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C0A95">
        <w:rPr>
          <w:b/>
          <w:bCs/>
          <w:sz w:val="28"/>
          <w:szCs w:val="28"/>
        </w:rPr>
        <w:t xml:space="preserve">Вид і назва регуляторного </w:t>
      </w:r>
      <w:proofErr w:type="spellStart"/>
      <w:r w:rsidRPr="00FC0A95">
        <w:rPr>
          <w:b/>
          <w:bCs/>
          <w:sz w:val="28"/>
          <w:szCs w:val="28"/>
        </w:rPr>
        <w:t>акта</w:t>
      </w:r>
      <w:proofErr w:type="spellEnd"/>
      <w:r w:rsidRPr="00FC0A95">
        <w:rPr>
          <w:b/>
          <w:bCs/>
          <w:sz w:val="28"/>
          <w:szCs w:val="28"/>
        </w:rPr>
        <w:t>:</w:t>
      </w:r>
      <w:r w:rsidRPr="00FC0A95">
        <w:rPr>
          <w:sz w:val="28"/>
          <w:szCs w:val="28"/>
        </w:rPr>
        <w:t xml:space="preserve"> </w:t>
      </w:r>
      <w:proofErr w:type="spellStart"/>
      <w:r w:rsidR="00935EDB">
        <w:rPr>
          <w:sz w:val="28"/>
          <w:szCs w:val="28"/>
        </w:rPr>
        <w:t>проєкт</w:t>
      </w:r>
      <w:proofErr w:type="spellEnd"/>
      <w:r w:rsidR="00935EDB">
        <w:rPr>
          <w:sz w:val="28"/>
          <w:szCs w:val="28"/>
        </w:rPr>
        <w:t xml:space="preserve"> </w:t>
      </w:r>
      <w:r w:rsidRPr="00FC0A95">
        <w:rPr>
          <w:sz w:val="28"/>
          <w:szCs w:val="28"/>
        </w:rPr>
        <w:t xml:space="preserve">рішення виконавчого комітету </w:t>
      </w:r>
      <w:proofErr w:type="spellStart"/>
      <w:r w:rsidRPr="00FC0A95">
        <w:rPr>
          <w:sz w:val="28"/>
          <w:szCs w:val="28"/>
        </w:rPr>
        <w:t>Ірпінської</w:t>
      </w:r>
      <w:proofErr w:type="spellEnd"/>
      <w:r w:rsidRPr="00FC0A95">
        <w:rPr>
          <w:sz w:val="28"/>
          <w:szCs w:val="28"/>
        </w:rPr>
        <w:t xml:space="preserve"> міської ради «Про затвердження фінансування витрат на поховання  або  відшкодування  витрат  на  здійснення  поховання померлих (загиблих) осіб, які мають особливі заслуги та особливі трудові заслуги  перед Батьківщиною, учасників </w:t>
      </w:r>
      <w:r w:rsidR="00935EDB">
        <w:rPr>
          <w:sz w:val="28"/>
          <w:szCs w:val="28"/>
        </w:rPr>
        <w:t>бойових  дій та інвалідів війни</w:t>
      </w:r>
      <w:r w:rsidRPr="00FC0A95">
        <w:rPr>
          <w:sz w:val="28"/>
          <w:szCs w:val="28"/>
        </w:rPr>
        <w:t>,</w:t>
      </w:r>
      <w:r w:rsidR="00935EDB">
        <w:rPr>
          <w:sz w:val="28"/>
          <w:szCs w:val="28"/>
        </w:rPr>
        <w:t xml:space="preserve"> </w:t>
      </w:r>
      <w:r w:rsidRPr="00FC0A95">
        <w:rPr>
          <w:sz w:val="28"/>
          <w:szCs w:val="28"/>
        </w:rPr>
        <w:t xml:space="preserve">жителів </w:t>
      </w:r>
      <w:proofErr w:type="spellStart"/>
      <w:r w:rsidRPr="00FC0A95">
        <w:rPr>
          <w:sz w:val="28"/>
          <w:szCs w:val="28"/>
        </w:rPr>
        <w:t>м.Ірпінь</w:t>
      </w:r>
      <w:proofErr w:type="spellEnd"/>
      <w:r w:rsidRPr="00FC0A95">
        <w:rPr>
          <w:sz w:val="28"/>
          <w:szCs w:val="28"/>
        </w:rPr>
        <w:t>».</w:t>
      </w:r>
    </w:p>
    <w:p w:rsidR="00056352" w:rsidRPr="00DA67ED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DA67ED">
        <w:rPr>
          <w:b/>
          <w:bCs/>
          <w:sz w:val="28"/>
          <w:szCs w:val="28"/>
        </w:rPr>
        <w:t>Назви виконавців заходів з відстеження:</w:t>
      </w:r>
      <w:r w:rsidRPr="00DA67ED">
        <w:rPr>
          <w:sz w:val="28"/>
          <w:szCs w:val="28"/>
        </w:rPr>
        <w:t xml:space="preserve"> </w:t>
      </w:r>
      <w:r w:rsidR="00C47B4C">
        <w:rPr>
          <w:sz w:val="28"/>
          <w:szCs w:val="28"/>
        </w:rPr>
        <w:t xml:space="preserve">КП </w:t>
      </w:r>
      <w:r w:rsidR="00C47B4C" w:rsidRPr="00ED2C10">
        <w:rPr>
          <w:sz w:val="28"/>
          <w:szCs w:val="28"/>
          <w:lang w:eastAsia="ru-RU"/>
        </w:rPr>
        <w:t>"</w:t>
      </w:r>
      <w:r w:rsidR="007A57D7" w:rsidRPr="00ED2C10">
        <w:rPr>
          <w:sz w:val="28"/>
          <w:szCs w:val="28"/>
          <w:lang w:eastAsia="ru-RU"/>
        </w:rPr>
        <w:t xml:space="preserve">Управління  житлово-комунального  господарства  "Ірпінь" </w:t>
      </w:r>
      <w:proofErr w:type="spellStart"/>
      <w:r w:rsidR="007A57D7" w:rsidRPr="00ED2C10">
        <w:rPr>
          <w:sz w:val="28"/>
          <w:szCs w:val="28"/>
          <w:lang w:eastAsia="ru-RU"/>
        </w:rPr>
        <w:t>Ірпінської</w:t>
      </w:r>
      <w:proofErr w:type="spellEnd"/>
      <w:r w:rsidR="007A57D7" w:rsidRPr="00ED2C10">
        <w:rPr>
          <w:sz w:val="28"/>
          <w:szCs w:val="28"/>
          <w:lang w:eastAsia="ru-RU"/>
        </w:rPr>
        <w:t xml:space="preserve"> міської ради</w:t>
      </w:r>
      <w:r w:rsidR="00C47B4C" w:rsidRPr="00ED2C10">
        <w:rPr>
          <w:sz w:val="28"/>
          <w:szCs w:val="28"/>
          <w:lang w:eastAsia="ru-RU"/>
        </w:rPr>
        <w:t>"</w:t>
      </w:r>
      <w:r w:rsidRPr="00E26618">
        <w:rPr>
          <w:sz w:val="28"/>
          <w:szCs w:val="28"/>
        </w:rPr>
        <w:t>.</w:t>
      </w:r>
    </w:p>
    <w:p w:rsidR="00056352" w:rsidRPr="00DA67ED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DA67ED">
        <w:rPr>
          <w:b/>
          <w:bCs/>
          <w:sz w:val="28"/>
          <w:szCs w:val="28"/>
        </w:rPr>
        <w:t xml:space="preserve">Цілі прийняття регуляторного </w:t>
      </w:r>
      <w:proofErr w:type="spellStart"/>
      <w:r w:rsidRPr="00DA67ED">
        <w:rPr>
          <w:b/>
          <w:bCs/>
          <w:sz w:val="28"/>
          <w:szCs w:val="28"/>
        </w:rPr>
        <w:t>акта</w:t>
      </w:r>
      <w:proofErr w:type="spellEnd"/>
      <w:r w:rsidRPr="00DA67ED">
        <w:rPr>
          <w:b/>
          <w:bCs/>
          <w:sz w:val="28"/>
          <w:szCs w:val="28"/>
        </w:rPr>
        <w:t>: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7ED">
        <w:rPr>
          <w:sz w:val="28"/>
          <w:szCs w:val="28"/>
        </w:rPr>
        <w:t>дотримання вимог Закону України «Про засади державної регуляторної політики у сфері господарської діяльності»;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7ED">
        <w:rPr>
          <w:sz w:val="28"/>
          <w:szCs w:val="28"/>
        </w:rPr>
        <w:t>правове регулювання правовідносин між суб’єктами, на які поширюється дія регуляторного акту шляхом формування цінової політики;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618">
        <w:rPr>
          <w:sz w:val="28"/>
          <w:szCs w:val="28"/>
        </w:rPr>
        <w:t>встановлення економічно обґрунтованих тарифів</w:t>
      </w:r>
      <w:r w:rsidRPr="00DA67ED">
        <w:rPr>
          <w:sz w:val="28"/>
          <w:szCs w:val="28"/>
        </w:rPr>
        <w:t xml:space="preserve"> на послуги відповідно до необхідного мінімального переліку окремих видів ритуальних послуг.</w:t>
      </w:r>
    </w:p>
    <w:p w:rsidR="00056352" w:rsidRPr="0096355D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DA67ED">
        <w:rPr>
          <w:b/>
          <w:bCs/>
          <w:sz w:val="28"/>
          <w:szCs w:val="28"/>
        </w:rPr>
        <w:t>Строк виконання заходів з відстеження:</w:t>
      </w:r>
      <w:r w:rsidR="000778B0">
        <w:rPr>
          <w:b/>
          <w:bCs/>
          <w:sz w:val="28"/>
          <w:szCs w:val="28"/>
        </w:rPr>
        <w:t xml:space="preserve"> </w:t>
      </w:r>
      <w:r w:rsidR="000778B0" w:rsidRPr="00207BC3">
        <w:rPr>
          <w:sz w:val="28"/>
          <w:szCs w:val="28"/>
        </w:rPr>
        <w:t>відстеження результативності зазначеного рішення здійснюється до дня набра</w:t>
      </w:r>
      <w:r w:rsidR="000778B0">
        <w:rPr>
          <w:sz w:val="28"/>
          <w:szCs w:val="28"/>
        </w:rPr>
        <w:t xml:space="preserve">ння чинності регуляторного </w:t>
      </w:r>
      <w:proofErr w:type="spellStart"/>
      <w:r w:rsidR="000778B0">
        <w:rPr>
          <w:sz w:val="28"/>
          <w:szCs w:val="28"/>
        </w:rPr>
        <w:t>акта</w:t>
      </w:r>
      <w:proofErr w:type="spellEnd"/>
      <w:r w:rsidR="000778B0">
        <w:rPr>
          <w:sz w:val="28"/>
          <w:szCs w:val="28"/>
        </w:rPr>
        <w:t xml:space="preserve"> </w:t>
      </w:r>
      <w:r w:rsidR="000778B0" w:rsidRPr="0096355D">
        <w:rPr>
          <w:sz w:val="28"/>
          <w:szCs w:val="28"/>
        </w:rPr>
        <w:t xml:space="preserve">з </w:t>
      </w:r>
      <w:r w:rsidRPr="0096355D">
        <w:rPr>
          <w:b/>
          <w:bCs/>
          <w:sz w:val="28"/>
          <w:szCs w:val="28"/>
        </w:rPr>
        <w:t xml:space="preserve"> </w:t>
      </w:r>
      <w:r w:rsidR="0096355D" w:rsidRPr="0096355D">
        <w:rPr>
          <w:sz w:val="28"/>
          <w:szCs w:val="28"/>
        </w:rPr>
        <w:t>26</w:t>
      </w:r>
      <w:r w:rsidRPr="0096355D">
        <w:rPr>
          <w:sz w:val="28"/>
          <w:szCs w:val="28"/>
        </w:rPr>
        <w:t>.0</w:t>
      </w:r>
      <w:r w:rsidR="0096355D" w:rsidRPr="0096355D">
        <w:rPr>
          <w:sz w:val="28"/>
          <w:szCs w:val="28"/>
          <w:lang w:val="ru-RU"/>
        </w:rPr>
        <w:t>6</w:t>
      </w:r>
      <w:r w:rsidRPr="0096355D">
        <w:rPr>
          <w:sz w:val="28"/>
          <w:szCs w:val="28"/>
        </w:rPr>
        <w:t xml:space="preserve">.2023 </w:t>
      </w:r>
      <w:r w:rsidR="000778B0" w:rsidRPr="0096355D">
        <w:rPr>
          <w:sz w:val="28"/>
          <w:szCs w:val="28"/>
        </w:rPr>
        <w:t xml:space="preserve"> по </w:t>
      </w:r>
      <w:r w:rsidR="0096355D" w:rsidRPr="0096355D">
        <w:rPr>
          <w:sz w:val="28"/>
          <w:szCs w:val="28"/>
        </w:rPr>
        <w:t>30</w:t>
      </w:r>
      <w:r w:rsidRPr="0096355D">
        <w:rPr>
          <w:sz w:val="28"/>
          <w:szCs w:val="28"/>
        </w:rPr>
        <w:t>.0</w:t>
      </w:r>
      <w:r w:rsidR="0096355D" w:rsidRPr="0096355D">
        <w:rPr>
          <w:sz w:val="28"/>
          <w:szCs w:val="28"/>
          <w:lang w:val="ru-RU"/>
        </w:rPr>
        <w:t>6</w:t>
      </w:r>
      <w:r w:rsidRPr="0096355D">
        <w:rPr>
          <w:sz w:val="28"/>
          <w:szCs w:val="28"/>
        </w:rPr>
        <w:t>.2023</w:t>
      </w:r>
      <w:r w:rsidR="000778B0" w:rsidRPr="0096355D">
        <w:rPr>
          <w:sz w:val="28"/>
          <w:szCs w:val="28"/>
        </w:rPr>
        <w:t>р</w:t>
      </w:r>
      <w:r w:rsidR="009334E2" w:rsidRPr="0096355D">
        <w:rPr>
          <w:sz w:val="28"/>
          <w:szCs w:val="28"/>
        </w:rPr>
        <w:t>.</w:t>
      </w:r>
    </w:p>
    <w:p w:rsidR="00056352" w:rsidRPr="00DA67ED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DA67ED">
        <w:rPr>
          <w:b/>
          <w:bCs/>
          <w:sz w:val="28"/>
          <w:szCs w:val="28"/>
        </w:rPr>
        <w:t xml:space="preserve">Тип відстеження: </w:t>
      </w:r>
      <w:r w:rsidRPr="00DA67ED">
        <w:rPr>
          <w:sz w:val="28"/>
          <w:szCs w:val="28"/>
        </w:rPr>
        <w:t>базове.</w:t>
      </w:r>
    </w:p>
    <w:p w:rsidR="00056352" w:rsidRPr="00DA67ED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DA67ED">
        <w:rPr>
          <w:b/>
          <w:bCs/>
          <w:sz w:val="28"/>
          <w:szCs w:val="28"/>
        </w:rPr>
        <w:t xml:space="preserve">Методи отримання результатів відстеження: </w:t>
      </w:r>
      <w:r w:rsidRPr="00DA67ED">
        <w:rPr>
          <w:sz w:val="28"/>
          <w:szCs w:val="28"/>
        </w:rPr>
        <w:t xml:space="preserve">Використання фактичних даних діяльності </w:t>
      </w:r>
      <w:r>
        <w:rPr>
          <w:sz w:val="28"/>
          <w:szCs w:val="28"/>
          <w:lang w:eastAsia="ru-RU"/>
        </w:rPr>
        <w:t xml:space="preserve">комунального підприємства </w:t>
      </w:r>
      <w:r w:rsidRPr="00ED2C10">
        <w:rPr>
          <w:sz w:val="28"/>
          <w:szCs w:val="28"/>
          <w:lang w:eastAsia="ru-RU"/>
        </w:rPr>
        <w:t xml:space="preserve">"Управління  житлово-комунального  господарства  "Ірпінь" </w:t>
      </w:r>
      <w:proofErr w:type="spellStart"/>
      <w:r w:rsidRPr="00ED2C10">
        <w:rPr>
          <w:sz w:val="28"/>
          <w:szCs w:val="28"/>
          <w:lang w:eastAsia="ru-RU"/>
        </w:rPr>
        <w:t>Ірпінської</w:t>
      </w:r>
      <w:proofErr w:type="spellEnd"/>
      <w:r w:rsidRPr="00ED2C10">
        <w:rPr>
          <w:sz w:val="28"/>
          <w:szCs w:val="28"/>
          <w:lang w:eastAsia="ru-RU"/>
        </w:rPr>
        <w:t xml:space="preserve"> міської ради</w:t>
      </w:r>
      <w:r w:rsidR="000E4D53" w:rsidRPr="00ED2C10">
        <w:rPr>
          <w:sz w:val="28"/>
          <w:szCs w:val="28"/>
          <w:lang w:eastAsia="ru-RU"/>
        </w:rPr>
        <w:t>"</w:t>
      </w:r>
      <w:r w:rsidRPr="00DA67ED">
        <w:rPr>
          <w:color w:val="050000"/>
          <w:sz w:val="28"/>
          <w:szCs w:val="28"/>
        </w:rPr>
        <w:t xml:space="preserve"> (статистичний метод)</w:t>
      </w:r>
      <w:r w:rsidR="009334E2">
        <w:rPr>
          <w:color w:val="050000"/>
          <w:sz w:val="28"/>
          <w:szCs w:val="28"/>
        </w:rPr>
        <w:t>.</w:t>
      </w:r>
    </w:p>
    <w:p w:rsidR="00056352" w:rsidRPr="00DA67ED" w:rsidRDefault="00056352" w:rsidP="00056352">
      <w:pPr>
        <w:pStyle w:val="11"/>
        <w:numPr>
          <w:ilvl w:val="0"/>
          <w:numId w:val="4"/>
        </w:numPr>
        <w:ind w:left="0" w:firstLine="426"/>
        <w:jc w:val="both"/>
        <w:rPr>
          <w:b/>
          <w:bCs/>
          <w:sz w:val="28"/>
          <w:szCs w:val="28"/>
        </w:rPr>
      </w:pPr>
      <w:r w:rsidRPr="00DA67ED">
        <w:rPr>
          <w:b/>
          <w:bCs/>
          <w:sz w:val="28"/>
          <w:szCs w:val="28"/>
        </w:rPr>
        <w:t>Дані та припущення, на основі яких відстежувалася результативність, а також способи одержання даних:</w:t>
      </w:r>
      <w:r>
        <w:rPr>
          <w:b/>
          <w:bCs/>
          <w:sz w:val="28"/>
          <w:szCs w:val="28"/>
        </w:rPr>
        <w:t xml:space="preserve"> </w:t>
      </w:r>
      <w:r w:rsidRPr="00DA67ED">
        <w:rPr>
          <w:sz w:val="28"/>
          <w:szCs w:val="28"/>
        </w:rPr>
        <w:t xml:space="preserve">Враховуючи цілі регулювання для відстеження результативності </w:t>
      </w:r>
      <w:r w:rsidR="000A5258">
        <w:rPr>
          <w:sz w:val="28"/>
          <w:szCs w:val="28"/>
        </w:rPr>
        <w:t xml:space="preserve"> </w:t>
      </w:r>
      <w:r w:rsidRPr="00DA67ED">
        <w:rPr>
          <w:sz w:val="28"/>
          <w:szCs w:val="28"/>
        </w:rPr>
        <w:t xml:space="preserve">регуляторного </w:t>
      </w:r>
      <w:proofErr w:type="spellStart"/>
      <w:r w:rsidRPr="00DA67ED">
        <w:rPr>
          <w:sz w:val="28"/>
          <w:szCs w:val="28"/>
        </w:rPr>
        <w:t>акта</w:t>
      </w:r>
      <w:proofErr w:type="spellEnd"/>
      <w:r w:rsidRPr="00DA67ED">
        <w:rPr>
          <w:sz w:val="28"/>
          <w:szCs w:val="28"/>
        </w:rPr>
        <w:t xml:space="preserve"> були визначені такі показники</w:t>
      </w:r>
      <w:r>
        <w:rPr>
          <w:sz w:val="28"/>
          <w:szCs w:val="28"/>
        </w:rPr>
        <w:t xml:space="preserve"> – статистичні показники.   </w:t>
      </w:r>
      <w:r w:rsidRPr="00DA67ED">
        <w:rPr>
          <w:sz w:val="28"/>
          <w:szCs w:val="28"/>
        </w:rPr>
        <w:t xml:space="preserve">Дані показники отримані від статистичної звітності </w:t>
      </w:r>
      <w:r>
        <w:rPr>
          <w:sz w:val="28"/>
          <w:szCs w:val="28"/>
          <w:lang w:eastAsia="ru-RU"/>
        </w:rPr>
        <w:t>комунального підприємства</w:t>
      </w:r>
      <w:r w:rsidRPr="00DA67ED">
        <w:rPr>
          <w:sz w:val="28"/>
          <w:szCs w:val="28"/>
          <w:lang w:eastAsia="ru-RU"/>
        </w:rPr>
        <w:t xml:space="preserve">  "Управління  житлово</w:t>
      </w:r>
      <w:r>
        <w:rPr>
          <w:sz w:val="28"/>
          <w:szCs w:val="28"/>
          <w:lang w:eastAsia="ru-RU"/>
        </w:rPr>
        <w:t xml:space="preserve"> </w:t>
      </w:r>
      <w:r w:rsidRPr="00DA67ED">
        <w:rPr>
          <w:sz w:val="28"/>
          <w:szCs w:val="28"/>
          <w:lang w:eastAsia="ru-RU"/>
        </w:rPr>
        <w:t xml:space="preserve">-комунального  господарства  "Ірпінь" </w:t>
      </w:r>
      <w:proofErr w:type="spellStart"/>
      <w:r w:rsidRPr="00DA67ED">
        <w:rPr>
          <w:sz w:val="28"/>
          <w:szCs w:val="28"/>
          <w:lang w:eastAsia="ru-RU"/>
        </w:rPr>
        <w:t>Ірпінської</w:t>
      </w:r>
      <w:proofErr w:type="spellEnd"/>
      <w:r w:rsidRPr="00DA67ED">
        <w:rPr>
          <w:sz w:val="28"/>
          <w:szCs w:val="28"/>
          <w:lang w:eastAsia="ru-RU"/>
        </w:rPr>
        <w:t xml:space="preserve"> міської ради</w:t>
      </w:r>
      <w:r w:rsidR="0081560F" w:rsidRPr="00DA67ED">
        <w:rPr>
          <w:sz w:val="28"/>
          <w:szCs w:val="28"/>
          <w:lang w:eastAsia="ru-RU"/>
        </w:rPr>
        <w:t>"</w:t>
      </w:r>
      <w:r w:rsidR="0081560F">
        <w:rPr>
          <w:sz w:val="28"/>
          <w:szCs w:val="28"/>
          <w:lang w:eastAsia="ru-RU"/>
        </w:rPr>
        <w:t>.</w:t>
      </w:r>
    </w:p>
    <w:p w:rsidR="00056352" w:rsidRDefault="00056352" w:rsidP="003C2EEF">
      <w:pPr>
        <w:pStyle w:val="11"/>
        <w:ind w:left="426" w:firstLine="0"/>
        <w:jc w:val="both"/>
        <w:rPr>
          <w:b/>
          <w:bCs/>
          <w:sz w:val="28"/>
          <w:szCs w:val="28"/>
        </w:rPr>
      </w:pPr>
      <w:r w:rsidRPr="00DA67ED">
        <w:rPr>
          <w:b/>
          <w:sz w:val="28"/>
          <w:szCs w:val="28"/>
        </w:rPr>
        <w:t>8</w:t>
      </w:r>
      <w:r w:rsidRPr="00DA67ED">
        <w:rPr>
          <w:sz w:val="28"/>
          <w:szCs w:val="28"/>
        </w:rPr>
        <w:t>.</w:t>
      </w:r>
      <w:r w:rsidRPr="00DA67ED">
        <w:rPr>
          <w:b/>
          <w:bCs/>
          <w:sz w:val="28"/>
          <w:szCs w:val="28"/>
        </w:rPr>
        <w:t>Кількісні та якісні значення показників</w:t>
      </w:r>
      <w:r>
        <w:rPr>
          <w:b/>
          <w:bCs/>
          <w:sz w:val="28"/>
          <w:szCs w:val="28"/>
        </w:rPr>
        <w:t xml:space="preserve"> результативності регуляторного </w:t>
      </w:r>
      <w:proofErr w:type="spellStart"/>
      <w:r w:rsidRPr="00DA67ED">
        <w:rPr>
          <w:b/>
          <w:bCs/>
          <w:sz w:val="28"/>
          <w:szCs w:val="28"/>
        </w:rPr>
        <w:t>акта</w:t>
      </w:r>
      <w:proofErr w:type="spellEnd"/>
      <w:r w:rsidRPr="00DA67E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 w:rsidRPr="00DA67ED">
        <w:rPr>
          <w:sz w:val="28"/>
          <w:szCs w:val="28"/>
        </w:rPr>
        <w:t>Основними показниками результативності зазначеного рішення є: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 w:rsidRPr="00DA67ED">
        <w:rPr>
          <w:sz w:val="28"/>
          <w:szCs w:val="28"/>
        </w:rPr>
        <w:t>- дотримання вимог чинного законодавства;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 w:rsidRPr="00DA67ED">
        <w:rPr>
          <w:sz w:val="28"/>
          <w:szCs w:val="28"/>
        </w:rPr>
        <w:t>-стан розрахунків за обов'язкові платежі до бюджетів усіх рівнів, виплати заробітної плати;</w:t>
      </w:r>
    </w:p>
    <w:p w:rsidR="00056352" w:rsidRDefault="00056352" w:rsidP="00056352">
      <w:pPr>
        <w:pStyle w:val="11"/>
        <w:ind w:firstLine="0"/>
        <w:jc w:val="both"/>
        <w:rPr>
          <w:sz w:val="28"/>
          <w:szCs w:val="28"/>
        </w:rPr>
      </w:pPr>
      <w:r w:rsidRPr="00DA67ED">
        <w:rPr>
          <w:sz w:val="28"/>
          <w:szCs w:val="28"/>
        </w:rPr>
        <w:t xml:space="preserve">- контроль за якістю надання послуг. 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  <w:r w:rsidRPr="00DA67ED">
        <w:rPr>
          <w:sz w:val="28"/>
          <w:szCs w:val="28"/>
        </w:rPr>
        <w:t xml:space="preserve">         </w:t>
      </w:r>
      <w:r w:rsidRPr="00DA67ED">
        <w:rPr>
          <w:b/>
          <w:bCs/>
          <w:sz w:val="28"/>
          <w:szCs w:val="28"/>
        </w:rPr>
        <w:t xml:space="preserve">9.Оцінка результатів реалізації регуляторного </w:t>
      </w:r>
      <w:proofErr w:type="spellStart"/>
      <w:r w:rsidRPr="00DA67ED">
        <w:rPr>
          <w:b/>
          <w:bCs/>
          <w:sz w:val="28"/>
          <w:szCs w:val="28"/>
        </w:rPr>
        <w:t>акта</w:t>
      </w:r>
      <w:proofErr w:type="spellEnd"/>
      <w:r w:rsidRPr="00DA67ED">
        <w:rPr>
          <w:b/>
          <w:bCs/>
          <w:sz w:val="28"/>
          <w:szCs w:val="28"/>
        </w:rPr>
        <w:t xml:space="preserve"> та ступеня досягнення визначених цілей:</w:t>
      </w:r>
    </w:p>
    <w:p w:rsidR="00056352" w:rsidRPr="00DA67ED" w:rsidRDefault="000A5258" w:rsidP="00056352">
      <w:pPr>
        <w:pStyle w:val="11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6352" w:rsidRPr="00DA67ED">
        <w:rPr>
          <w:sz w:val="28"/>
          <w:szCs w:val="28"/>
        </w:rPr>
        <w:t xml:space="preserve">Базове відстеження результативності регуляторного </w:t>
      </w:r>
      <w:proofErr w:type="spellStart"/>
      <w:r w:rsidR="00056352" w:rsidRPr="00DA67ED">
        <w:rPr>
          <w:sz w:val="28"/>
          <w:szCs w:val="28"/>
        </w:rPr>
        <w:t>акта</w:t>
      </w:r>
      <w:proofErr w:type="spellEnd"/>
      <w:r w:rsidR="00056352" w:rsidRPr="00DA67ED">
        <w:rPr>
          <w:sz w:val="28"/>
          <w:szCs w:val="28"/>
        </w:rPr>
        <w:t xml:space="preserve"> проведено в строки, визначені Законом України «Про засади державної регуляторної політики у сфері господарської діяльності», згідно Методики відстеження результативності регуляторного </w:t>
      </w:r>
      <w:proofErr w:type="spellStart"/>
      <w:r w:rsidR="00056352" w:rsidRPr="00DA67ED">
        <w:rPr>
          <w:sz w:val="28"/>
          <w:szCs w:val="28"/>
        </w:rPr>
        <w:t>акта</w:t>
      </w:r>
      <w:proofErr w:type="spellEnd"/>
      <w:r w:rsidR="00056352" w:rsidRPr="00DA67ED">
        <w:rPr>
          <w:sz w:val="28"/>
          <w:szCs w:val="28"/>
        </w:rPr>
        <w:t xml:space="preserve">, затвердженої постановою Кабінету Міністрів України від 11 березня 2004 р. № 308. </w:t>
      </w:r>
    </w:p>
    <w:p w:rsidR="002A3906" w:rsidRPr="00183734" w:rsidRDefault="002A3906" w:rsidP="002A39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83734">
        <w:rPr>
          <w:sz w:val="28"/>
          <w:szCs w:val="28"/>
          <w:lang w:val="uk-UA"/>
        </w:rPr>
        <w:t xml:space="preserve">Подальшу оцінку результатів реалізації регуляторного </w:t>
      </w:r>
      <w:proofErr w:type="spellStart"/>
      <w:r w:rsidRPr="00183734">
        <w:rPr>
          <w:sz w:val="28"/>
          <w:szCs w:val="28"/>
          <w:lang w:val="uk-UA"/>
        </w:rPr>
        <w:t>акта</w:t>
      </w:r>
      <w:proofErr w:type="spellEnd"/>
      <w:r w:rsidRPr="00183734">
        <w:rPr>
          <w:sz w:val="28"/>
          <w:szCs w:val="28"/>
          <w:lang w:val="uk-UA"/>
        </w:rPr>
        <w:t xml:space="preserve"> та ступінь досягнення визначених цілей буде здійснено при проведені повторного та періодичного </w:t>
      </w:r>
      <w:proofErr w:type="spellStart"/>
      <w:r w:rsidRPr="00183734">
        <w:rPr>
          <w:sz w:val="28"/>
          <w:szCs w:val="28"/>
          <w:lang w:val="uk-UA"/>
        </w:rPr>
        <w:t>відстежень</w:t>
      </w:r>
      <w:proofErr w:type="spellEnd"/>
      <w:r w:rsidRPr="00183734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Pr="00183734">
        <w:rPr>
          <w:sz w:val="28"/>
          <w:szCs w:val="28"/>
          <w:lang w:val="uk-UA"/>
        </w:rPr>
        <w:t>акта</w:t>
      </w:r>
      <w:proofErr w:type="spellEnd"/>
      <w:r w:rsidRPr="00183734">
        <w:rPr>
          <w:sz w:val="28"/>
          <w:szCs w:val="28"/>
          <w:lang w:val="uk-UA"/>
        </w:rPr>
        <w:t xml:space="preserve"> згідно вимог </w:t>
      </w:r>
      <w:r w:rsidRPr="00183734">
        <w:rPr>
          <w:sz w:val="28"/>
          <w:szCs w:val="28"/>
          <w:lang w:val="uk-UA"/>
        </w:rPr>
        <w:lastRenderedPageBreak/>
        <w:t>Закону України «Про засади державної регуляторної політики у сфері господарської діяльності», а саме:</w:t>
      </w:r>
    </w:p>
    <w:p w:rsidR="002A3906" w:rsidRPr="00403484" w:rsidRDefault="002A3906" w:rsidP="002A390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</w:t>
      </w:r>
      <w:r w:rsidRPr="00403484">
        <w:rPr>
          <w:sz w:val="28"/>
          <w:szCs w:val="28"/>
          <w:lang w:val="uk-UA"/>
        </w:rPr>
        <w:t xml:space="preserve">овторне відстеження результативності регуляторного </w:t>
      </w:r>
      <w:proofErr w:type="spellStart"/>
      <w:r w:rsidRPr="00403484">
        <w:rPr>
          <w:sz w:val="28"/>
          <w:szCs w:val="28"/>
          <w:lang w:val="uk-UA"/>
        </w:rPr>
        <w:t>акта</w:t>
      </w:r>
      <w:proofErr w:type="spellEnd"/>
      <w:r w:rsidRPr="00403484">
        <w:rPr>
          <w:sz w:val="28"/>
          <w:szCs w:val="28"/>
          <w:lang w:val="uk-UA"/>
        </w:rPr>
        <w:t xml:space="preserve"> буде здійснено через рік з дня набрання ним чинності, але не пізніше двох років з </w:t>
      </w:r>
      <w:r>
        <w:rPr>
          <w:sz w:val="28"/>
          <w:szCs w:val="28"/>
          <w:lang w:val="uk-UA"/>
        </w:rPr>
        <w:t>дня набрання чинності цим актом;</w:t>
      </w:r>
      <w:r w:rsidRPr="00403484">
        <w:rPr>
          <w:sz w:val="28"/>
          <w:szCs w:val="28"/>
          <w:lang w:val="uk-UA"/>
        </w:rPr>
        <w:t xml:space="preserve"> </w:t>
      </w:r>
    </w:p>
    <w:p w:rsidR="002A3906" w:rsidRPr="00403484" w:rsidRDefault="002A3906" w:rsidP="002A39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</w:t>
      </w:r>
      <w:r w:rsidRPr="00403484">
        <w:rPr>
          <w:sz w:val="28"/>
          <w:szCs w:val="28"/>
          <w:lang w:val="uk-UA"/>
        </w:rPr>
        <w:t xml:space="preserve">еріодичне відстеження результативності -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403484">
        <w:rPr>
          <w:sz w:val="28"/>
          <w:szCs w:val="28"/>
          <w:lang w:val="uk-UA"/>
        </w:rPr>
        <w:t>акта</w:t>
      </w:r>
      <w:proofErr w:type="spellEnd"/>
      <w:r w:rsidRPr="00403484">
        <w:rPr>
          <w:sz w:val="28"/>
          <w:szCs w:val="28"/>
          <w:lang w:val="uk-UA"/>
        </w:rPr>
        <w:t xml:space="preserve">. </w:t>
      </w: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</w:rPr>
      </w:pPr>
    </w:p>
    <w:p w:rsidR="00056352" w:rsidRPr="00DA67ED" w:rsidRDefault="00056352" w:rsidP="00056352">
      <w:pPr>
        <w:pStyle w:val="11"/>
        <w:ind w:firstLine="0"/>
        <w:jc w:val="both"/>
        <w:rPr>
          <w:b/>
          <w:bCs/>
          <w:sz w:val="28"/>
          <w:szCs w:val="28"/>
        </w:rPr>
      </w:pP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  <w:highlight w:val="red"/>
        </w:rPr>
      </w:pPr>
    </w:p>
    <w:p w:rsidR="00056352" w:rsidRPr="00DA67ED" w:rsidRDefault="00056352" w:rsidP="00056352">
      <w:pPr>
        <w:pStyle w:val="11"/>
        <w:ind w:firstLine="0"/>
        <w:jc w:val="both"/>
        <w:rPr>
          <w:sz w:val="28"/>
          <w:szCs w:val="28"/>
          <w:highlight w:val="red"/>
        </w:rPr>
      </w:pPr>
    </w:p>
    <w:p w:rsidR="00056352" w:rsidRDefault="00056352" w:rsidP="00056352">
      <w:pPr>
        <w:pStyle w:val="aa"/>
        <w:ind w:left="0"/>
        <w:rPr>
          <w:b/>
          <w:sz w:val="28"/>
          <w:szCs w:val="28"/>
        </w:rPr>
      </w:pPr>
      <w:r w:rsidRPr="008B00CE">
        <w:rPr>
          <w:b/>
          <w:sz w:val="28"/>
          <w:szCs w:val="28"/>
        </w:rPr>
        <w:t>Дире</w:t>
      </w:r>
      <w:r>
        <w:rPr>
          <w:b/>
          <w:sz w:val="28"/>
          <w:szCs w:val="28"/>
        </w:rPr>
        <w:t>ктор КП «УЖКГ «Ірпінь»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71C7" w:rsidRPr="005C71C7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Сергій</w:t>
      </w:r>
      <w:r w:rsidRPr="008B00CE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КРИПНИК</w:t>
      </w:r>
    </w:p>
    <w:p w:rsidR="00056352" w:rsidRDefault="00056352" w:rsidP="00EB0C5D">
      <w:pPr>
        <w:suppressAutoHyphens/>
        <w:spacing w:after="120"/>
        <w:jc w:val="both"/>
        <w:rPr>
          <w:b/>
          <w:sz w:val="28"/>
          <w:szCs w:val="28"/>
          <w:lang w:val="uk-UA"/>
        </w:rPr>
      </w:pPr>
    </w:p>
    <w:p w:rsidR="006751F5" w:rsidRDefault="006751F5" w:rsidP="008769C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sectPr w:rsidR="00675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430D"/>
    <w:multiLevelType w:val="hybridMultilevel"/>
    <w:tmpl w:val="8320FBAE"/>
    <w:lvl w:ilvl="0" w:tplc="45F8C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B0F28"/>
    <w:multiLevelType w:val="hybridMultilevel"/>
    <w:tmpl w:val="292A81E4"/>
    <w:lvl w:ilvl="0" w:tplc="86225712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6CEC"/>
    <w:multiLevelType w:val="hybridMultilevel"/>
    <w:tmpl w:val="97007AE8"/>
    <w:lvl w:ilvl="0" w:tplc="10861F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C800622"/>
    <w:multiLevelType w:val="hybridMultilevel"/>
    <w:tmpl w:val="31C83D96"/>
    <w:lvl w:ilvl="0" w:tplc="BC323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C"/>
    <w:rsid w:val="00014EB6"/>
    <w:rsid w:val="00046073"/>
    <w:rsid w:val="00056352"/>
    <w:rsid w:val="000635BA"/>
    <w:rsid w:val="000778B0"/>
    <w:rsid w:val="000A5258"/>
    <w:rsid w:val="000E4D53"/>
    <w:rsid w:val="00173981"/>
    <w:rsid w:val="00183734"/>
    <w:rsid w:val="001A76CA"/>
    <w:rsid w:val="00247CE4"/>
    <w:rsid w:val="002A3906"/>
    <w:rsid w:val="00312F96"/>
    <w:rsid w:val="00341F99"/>
    <w:rsid w:val="003679A7"/>
    <w:rsid w:val="003C2EEF"/>
    <w:rsid w:val="0045500C"/>
    <w:rsid w:val="004C37C3"/>
    <w:rsid w:val="0059358C"/>
    <w:rsid w:val="005A2C12"/>
    <w:rsid w:val="005C71C7"/>
    <w:rsid w:val="005F7222"/>
    <w:rsid w:val="006025FF"/>
    <w:rsid w:val="00603B8C"/>
    <w:rsid w:val="00626944"/>
    <w:rsid w:val="0066136B"/>
    <w:rsid w:val="00666E1C"/>
    <w:rsid w:val="006751F5"/>
    <w:rsid w:val="00682969"/>
    <w:rsid w:val="00712E8A"/>
    <w:rsid w:val="007A57D7"/>
    <w:rsid w:val="007B0157"/>
    <w:rsid w:val="007E3262"/>
    <w:rsid w:val="0081560F"/>
    <w:rsid w:val="00841A0C"/>
    <w:rsid w:val="008769C2"/>
    <w:rsid w:val="009334E2"/>
    <w:rsid w:val="00935EDB"/>
    <w:rsid w:val="00957B80"/>
    <w:rsid w:val="0096355D"/>
    <w:rsid w:val="00980807"/>
    <w:rsid w:val="009973E6"/>
    <w:rsid w:val="009A253C"/>
    <w:rsid w:val="009E3403"/>
    <w:rsid w:val="00A8603A"/>
    <w:rsid w:val="00AF1D5F"/>
    <w:rsid w:val="00B550BB"/>
    <w:rsid w:val="00B64339"/>
    <w:rsid w:val="00B84B84"/>
    <w:rsid w:val="00BF2AD1"/>
    <w:rsid w:val="00C47B4C"/>
    <w:rsid w:val="00C93C5B"/>
    <w:rsid w:val="00CB7BE6"/>
    <w:rsid w:val="00D75485"/>
    <w:rsid w:val="00DD61BB"/>
    <w:rsid w:val="00E0093D"/>
    <w:rsid w:val="00E23648"/>
    <w:rsid w:val="00EB0C5D"/>
    <w:rsid w:val="00EE6454"/>
    <w:rsid w:val="00EF6568"/>
    <w:rsid w:val="00F068CC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56B8-B50E-4D34-9721-676B9B7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4E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3C5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93C5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14EB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12F9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2F9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CB7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EE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05635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9"/>
    <w:rsid w:val="00056352"/>
    <w:pPr>
      <w:widowControl w:val="0"/>
      <w:ind w:firstLine="400"/>
    </w:pPr>
    <w:rPr>
      <w:sz w:val="26"/>
      <w:szCs w:val="26"/>
      <w:lang w:val="uk-UA" w:eastAsia="en-US"/>
    </w:rPr>
  </w:style>
  <w:style w:type="paragraph" w:styleId="aa">
    <w:name w:val="Body Text Indent"/>
    <w:basedOn w:val="a"/>
    <w:link w:val="ab"/>
    <w:rsid w:val="00056352"/>
    <w:pPr>
      <w:tabs>
        <w:tab w:val="left" w:pos="993"/>
      </w:tabs>
      <w:ind w:left="899"/>
      <w:jc w:val="both"/>
    </w:pPr>
    <w:rPr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0563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 Гусак</cp:lastModifiedBy>
  <cp:revision>2</cp:revision>
  <cp:lastPrinted>2023-06-20T10:26:00Z</cp:lastPrinted>
  <dcterms:created xsi:type="dcterms:W3CDTF">2023-07-05T12:56:00Z</dcterms:created>
  <dcterms:modified xsi:type="dcterms:W3CDTF">2023-07-05T12:56:00Z</dcterms:modified>
</cp:coreProperties>
</file>