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5B" w:rsidRPr="00D11218" w:rsidRDefault="00C93C5B" w:rsidP="00C93C5B">
      <w:pPr>
        <w:jc w:val="center"/>
        <w:rPr>
          <w:b/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Звіт про результати базового відстеження</w:t>
      </w:r>
    </w:p>
    <w:p w:rsidR="00C93C5B" w:rsidRPr="009E465C" w:rsidRDefault="00C93C5B" w:rsidP="00C93C5B">
      <w:pPr>
        <w:jc w:val="center"/>
        <w:rPr>
          <w:b/>
          <w:sz w:val="27"/>
          <w:szCs w:val="27"/>
          <w:lang w:val="uk-UA"/>
        </w:rPr>
      </w:pPr>
    </w:p>
    <w:p w:rsidR="00C93C5B" w:rsidRPr="00EB0C5D" w:rsidRDefault="00C93C5B" w:rsidP="00EB0C5D">
      <w:pPr>
        <w:suppressAutoHyphens/>
        <w:spacing w:after="120"/>
        <w:jc w:val="both"/>
        <w:rPr>
          <w:sz w:val="28"/>
          <w:szCs w:val="28"/>
          <w:lang w:val="uk-UA"/>
        </w:rPr>
      </w:pPr>
      <w:r w:rsidRPr="00EB0C5D">
        <w:rPr>
          <w:b/>
          <w:sz w:val="28"/>
          <w:szCs w:val="28"/>
          <w:lang w:val="uk-UA"/>
        </w:rPr>
        <w:t>Вид та назва регуляторного акту:</w:t>
      </w:r>
      <w:r w:rsidR="00CB7BE6" w:rsidRPr="00EB0C5D">
        <w:rPr>
          <w:b/>
          <w:sz w:val="28"/>
          <w:szCs w:val="28"/>
          <w:lang w:val="uk-UA"/>
        </w:rPr>
        <w:t xml:space="preserve">  </w:t>
      </w:r>
      <w:proofErr w:type="spellStart"/>
      <w:r w:rsidR="00CB7BE6" w:rsidRPr="00EB0C5D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="00CB7BE6" w:rsidRPr="00EB0C5D">
        <w:rPr>
          <w:color w:val="000000" w:themeColor="text1"/>
          <w:sz w:val="28"/>
          <w:szCs w:val="28"/>
          <w:lang w:val="uk-UA"/>
        </w:rPr>
        <w:t xml:space="preserve"> рішення</w:t>
      </w:r>
      <w:r w:rsidR="00603B8C">
        <w:rPr>
          <w:color w:val="000000" w:themeColor="text1"/>
          <w:sz w:val="28"/>
          <w:szCs w:val="28"/>
          <w:lang w:val="uk-UA"/>
        </w:rPr>
        <w:t xml:space="preserve"> </w:t>
      </w:r>
      <w:r w:rsidR="00603B8C" w:rsidRPr="00B84B84">
        <w:rPr>
          <w:sz w:val="28"/>
          <w:lang w:val="uk-UA"/>
        </w:rPr>
        <w:t>виконавчого комітету</w:t>
      </w:r>
      <w:r w:rsidR="00CB7BE6" w:rsidRPr="00EB0C5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B7BE6" w:rsidRPr="00EB0C5D">
        <w:rPr>
          <w:color w:val="000000" w:themeColor="text1"/>
          <w:sz w:val="28"/>
          <w:szCs w:val="28"/>
          <w:lang w:val="uk-UA"/>
        </w:rPr>
        <w:t>Ірпінської</w:t>
      </w:r>
      <w:proofErr w:type="spellEnd"/>
      <w:r w:rsidR="00CB7BE6" w:rsidRPr="00EB0C5D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="00CB7BE6" w:rsidRPr="00EB0C5D">
        <w:rPr>
          <w:sz w:val="28"/>
          <w:szCs w:val="28"/>
          <w:lang w:val="uk-UA"/>
        </w:rPr>
        <w:t xml:space="preserve"> </w:t>
      </w:r>
      <w:r w:rsidR="00CB7BE6" w:rsidRPr="00EB0C5D">
        <w:rPr>
          <w:sz w:val="28"/>
          <w:lang w:val="uk-UA"/>
        </w:rPr>
        <w:t xml:space="preserve">«Про затвердження  тарифів на </w:t>
      </w:r>
      <w:r w:rsidR="00F068CC" w:rsidRPr="00EB0C5D">
        <w:rPr>
          <w:sz w:val="28"/>
          <w:lang w:val="uk-UA"/>
        </w:rPr>
        <w:t xml:space="preserve"> </w:t>
      </w:r>
      <w:r w:rsidR="00CB7BE6" w:rsidRPr="00EB0C5D">
        <w:rPr>
          <w:sz w:val="28"/>
          <w:lang w:val="uk-UA"/>
        </w:rPr>
        <w:t>міські пасажирські перевезення для ТОВ «</w:t>
      </w:r>
      <w:proofErr w:type="spellStart"/>
      <w:r w:rsidR="00CB7BE6" w:rsidRPr="00EB0C5D">
        <w:rPr>
          <w:sz w:val="28"/>
          <w:lang w:val="uk-UA"/>
        </w:rPr>
        <w:t>Ірпінське</w:t>
      </w:r>
      <w:proofErr w:type="spellEnd"/>
      <w:r w:rsidR="00CB7BE6" w:rsidRPr="00EB0C5D">
        <w:rPr>
          <w:sz w:val="28"/>
          <w:lang w:val="uk-UA"/>
        </w:rPr>
        <w:t xml:space="preserve"> АТП 13250»</w:t>
      </w:r>
      <w:r w:rsidR="00B84B84" w:rsidRPr="00EB0C5D">
        <w:rPr>
          <w:sz w:val="28"/>
          <w:lang w:val="uk-UA"/>
        </w:rPr>
        <w:t>»</w:t>
      </w:r>
      <w:r w:rsidR="00F068CC" w:rsidRPr="00EB0C5D">
        <w:rPr>
          <w:sz w:val="28"/>
          <w:lang w:val="uk-UA"/>
        </w:rPr>
        <w:t>.</w:t>
      </w:r>
    </w:p>
    <w:p w:rsidR="00F068CC" w:rsidRPr="00F068CC" w:rsidRDefault="00C93C5B" w:rsidP="00F068CC">
      <w:pPr>
        <w:suppressAutoHyphens/>
        <w:spacing w:after="120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Виконавець заходів відстеження:</w:t>
      </w:r>
      <w:r w:rsidRPr="00D11218">
        <w:rPr>
          <w:sz w:val="28"/>
          <w:szCs w:val="28"/>
          <w:lang w:val="uk-UA"/>
        </w:rPr>
        <w:t xml:space="preserve"> </w:t>
      </w:r>
      <w:r w:rsidR="00F068CC" w:rsidRPr="00F068CC">
        <w:rPr>
          <w:sz w:val="28"/>
          <w:lang w:val="uk-UA"/>
        </w:rPr>
        <w:t>ТОВ «</w:t>
      </w:r>
      <w:proofErr w:type="spellStart"/>
      <w:r w:rsidR="00F068CC" w:rsidRPr="00F068CC">
        <w:rPr>
          <w:sz w:val="28"/>
          <w:lang w:val="uk-UA"/>
        </w:rPr>
        <w:t>Ірпінське</w:t>
      </w:r>
      <w:proofErr w:type="spellEnd"/>
      <w:r w:rsidR="00F068CC" w:rsidRPr="00F068CC">
        <w:rPr>
          <w:sz w:val="28"/>
          <w:lang w:val="uk-UA"/>
        </w:rPr>
        <w:t xml:space="preserve"> АТП 13250»</w:t>
      </w:r>
      <w:r w:rsidR="00F068CC">
        <w:rPr>
          <w:sz w:val="28"/>
          <w:lang w:val="uk-UA"/>
        </w:rPr>
        <w:t>.</w:t>
      </w:r>
    </w:p>
    <w:p w:rsidR="00014EB6" w:rsidRPr="00014EB6" w:rsidRDefault="00C93C5B" w:rsidP="00666E1C">
      <w:pPr>
        <w:spacing w:after="120"/>
        <w:ind w:right="-142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Цілі прийняття акту:</w:t>
      </w:r>
      <w:r>
        <w:rPr>
          <w:b/>
          <w:sz w:val="28"/>
          <w:szCs w:val="28"/>
          <w:lang w:val="uk-UA"/>
        </w:rPr>
        <w:t xml:space="preserve"> </w:t>
      </w:r>
      <w:r w:rsidR="00BF2AD1" w:rsidRPr="0063301A">
        <w:rPr>
          <w:color w:val="000000" w:themeColor="text1"/>
          <w:sz w:val="28"/>
          <w:szCs w:val="28"/>
          <w:lang w:val="uk-UA"/>
        </w:rPr>
        <w:t xml:space="preserve">встановлення економічно обґрунтованого тарифу (цін), на міські пасажирські перевезення, що надаються  </w:t>
      </w:r>
      <w:r w:rsidR="00BF2AD1">
        <w:rPr>
          <w:sz w:val="28"/>
          <w:lang w:val="uk-UA"/>
        </w:rPr>
        <w:t>ТОВ «</w:t>
      </w:r>
      <w:proofErr w:type="spellStart"/>
      <w:r w:rsidR="00BF2AD1">
        <w:rPr>
          <w:sz w:val="28"/>
          <w:lang w:val="uk-UA"/>
        </w:rPr>
        <w:t>Ірпінське</w:t>
      </w:r>
      <w:proofErr w:type="spellEnd"/>
      <w:r w:rsidR="00BF2AD1">
        <w:rPr>
          <w:sz w:val="28"/>
          <w:lang w:val="uk-UA"/>
        </w:rPr>
        <w:t xml:space="preserve"> АТП 13250»</w:t>
      </w:r>
      <w:r w:rsidR="00666E1C">
        <w:rPr>
          <w:sz w:val="28"/>
          <w:szCs w:val="28"/>
          <w:lang w:val="uk-UA"/>
        </w:rPr>
        <w:t>.</w:t>
      </w:r>
    </w:p>
    <w:p w:rsidR="00C93C5B" w:rsidRPr="00207BC3" w:rsidRDefault="00C93C5B" w:rsidP="00247CE4">
      <w:pPr>
        <w:pStyle w:val="a3"/>
        <w:widowControl w:val="0"/>
        <w:tabs>
          <w:tab w:val="left" w:pos="2340"/>
        </w:tabs>
        <w:spacing w:after="120"/>
        <w:ind w:right="96"/>
        <w:jc w:val="both"/>
        <w:rPr>
          <w:rFonts w:ascii="Times New Roman" w:hAnsi="Times New Roman"/>
          <w:sz w:val="28"/>
          <w:szCs w:val="28"/>
          <w:lang w:val="uk-UA"/>
        </w:rPr>
      </w:pPr>
      <w:r w:rsidRPr="00D11218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відстеження:</w:t>
      </w:r>
      <w:r w:rsidRPr="00D112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07BC3">
        <w:rPr>
          <w:rFonts w:ascii="Times New Roman" w:hAnsi="Times New Roman"/>
          <w:sz w:val="28"/>
          <w:szCs w:val="28"/>
          <w:lang w:val="uk-UA"/>
        </w:rPr>
        <w:t>відстеження результативності зазначеного рішення здійснюється до дня набра</w:t>
      </w:r>
      <w:r w:rsidR="00312F96">
        <w:rPr>
          <w:rFonts w:ascii="Times New Roman" w:hAnsi="Times New Roman"/>
          <w:sz w:val="28"/>
          <w:szCs w:val="28"/>
          <w:lang w:val="uk-UA"/>
        </w:rPr>
        <w:t>ння чин</w:t>
      </w:r>
      <w:r w:rsidR="00666E1C">
        <w:rPr>
          <w:rFonts w:ascii="Times New Roman" w:hAnsi="Times New Roman"/>
          <w:sz w:val="28"/>
          <w:szCs w:val="28"/>
          <w:lang w:val="uk-UA"/>
        </w:rPr>
        <w:t xml:space="preserve">ності регуляторного </w:t>
      </w:r>
      <w:proofErr w:type="spellStart"/>
      <w:r w:rsidR="00666E1C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="00666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E1C" w:rsidRPr="00F123D6">
        <w:rPr>
          <w:rFonts w:ascii="Times New Roman" w:hAnsi="Times New Roman"/>
          <w:sz w:val="28"/>
          <w:szCs w:val="28"/>
          <w:lang w:val="uk-UA"/>
        </w:rPr>
        <w:t>з 19.06.2023</w:t>
      </w:r>
      <w:r w:rsidR="00312F96" w:rsidRPr="00F123D6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025FF" w:rsidRPr="00F123D6">
        <w:rPr>
          <w:rFonts w:ascii="Times New Roman" w:hAnsi="Times New Roman"/>
          <w:sz w:val="28"/>
          <w:szCs w:val="28"/>
          <w:lang w:val="uk-UA"/>
        </w:rPr>
        <w:t>23</w:t>
      </w:r>
      <w:r w:rsidR="007B0157" w:rsidRPr="00F123D6">
        <w:rPr>
          <w:rFonts w:ascii="Times New Roman" w:hAnsi="Times New Roman"/>
          <w:sz w:val="28"/>
          <w:szCs w:val="28"/>
          <w:lang w:val="uk-UA"/>
        </w:rPr>
        <w:t>.06.2023</w:t>
      </w:r>
      <w:r w:rsidR="00312F96" w:rsidRPr="00F123D6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C93C5B" w:rsidRPr="00D11218" w:rsidRDefault="00C93C5B" w:rsidP="00247CE4">
      <w:pPr>
        <w:spacing w:after="120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Тип відстеження:</w:t>
      </w:r>
      <w:r w:rsidRPr="00D11218">
        <w:rPr>
          <w:sz w:val="28"/>
          <w:szCs w:val="28"/>
          <w:lang w:val="uk-UA"/>
        </w:rPr>
        <w:t xml:space="preserve"> Базове</w:t>
      </w:r>
      <w:r w:rsidR="0066136B">
        <w:rPr>
          <w:sz w:val="28"/>
          <w:szCs w:val="28"/>
          <w:lang w:val="uk-UA"/>
        </w:rPr>
        <w:t>.</w:t>
      </w:r>
    </w:p>
    <w:p w:rsidR="00C93C5B" w:rsidRDefault="00C93C5B" w:rsidP="00247CE4">
      <w:pPr>
        <w:spacing w:after="120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Методи одержання результатів відстеження:</w:t>
      </w:r>
      <w:r w:rsidRPr="00D11218">
        <w:rPr>
          <w:sz w:val="28"/>
          <w:szCs w:val="28"/>
          <w:lang w:val="uk-UA"/>
        </w:rPr>
        <w:t xml:space="preserve"> статистичний.</w:t>
      </w:r>
    </w:p>
    <w:p w:rsidR="00C93C5B" w:rsidRPr="00377DC8" w:rsidRDefault="00C93C5B" w:rsidP="00C93C5B">
      <w:pPr>
        <w:jc w:val="both"/>
        <w:rPr>
          <w:b/>
          <w:sz w:val="28"/>
          <w:szCs w:val="28"/>
          <w:lang w:val="uk-UA"/>
        </w:rPr>
      </w:pPr>
      <w:r w:rsidRPr="00377DC8">
        <w:rPr>
          <w:b/>
          <w:bCs/>
          <w:sz w:val="28"/>
          <w:szCs w:val="28"/>
          <w:lang w:val="uk-UA"/>
        </w:rPr>
        <w:t>Дані та припущення, на основі яких відстежувалася результативність, а також способи одержання даних</w:t>
      </w:r>
      <w:r>
        <w:rPr>
          <w:b/>
          <w:bCs/>
          <w:sz w:val="28"/>
          <w:szCs w:val="28"/>
          <w:lang w:val="uk-UA"/>
        </w:rPr>
        <w:t>:</w:t>
      </w:r>
    </w:p>
    <w:p w:rsidR="008769C2" w:rsidRDefault="008769C2" w:rsidP="00876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12E8A">
        <w:rPr>
          <w:sz w:val="28"/>
          <w:szCs w:val="28"/>
          <w:lang w:val="uk-UA"/>
        </w:rPr>
        <w:t xml:space="preserve">Базове відстеження результативності </w:t>
      </w:r>
      <w:proofErr w:type="spellStart"/>
      <w:r w:rsidR="00712E8A" w:rsidRPr="00EB0C5D">
        <w:rPr>
          <w:color w:val="000000" w:themeColor="text1"/>
          <w:sz w:val="28"/>
          <w:szCs w:val="28"/>
          <w:lang w:val="uk-UA"/>
        </w:rPr>
        <w:t>проєкт</w:t>
      </w:r>
      <w:r w:rsidR="00712E8A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712E8A" w:rsidRPr="00EB0C5D">
        <w:rPr>
          <w:color w:val="000000" w:themeColor="text1"/>
          <w:sz w:val="28"/>
          <w:szCs w:val="28"/>
          <w:lang w:val="uk-UA"/>
        </w:rPr>
        <w:t xml:space="preserve"> рішення</w:t>
      </w:r>
      <w:r w:rsidR="00603B8C">
        <w:rPr>
          <w:color w:val="000000" w:themeColor="text1"/>
          <w:sz w:val="28"/>
          <w:szCs w:val="28"/>
          <w:lang w:val="uk-UA"/>
        </w:rPr>
        <w:t xml:space="preserve"> </w:t>
      </w:r>
      <w:r w:rsidR="00603B8C" w:rsidRPr="00603B8C">
        <w:rPr>
          <w:sz w:val="28"/>
          <w:lang w:val="uk-UA"/>
        </w:rPr>
        <w:t>виконавчого комітету</w:t>
      </w:r>
      <w:r w:rsidR="00712E8A" w:rsidRPr="00EB0C5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12E8A" w:rsidRPr="00EB0C5D">
        <w:rPr>
          <w:color w:val="000000" w:themeColor="text1"/>
          <w:sz w:val="28"/>
          <w:szCs w:val="28"/>
          <w:lang w:val="uk-UA"/>
        </w:rPr>
        <w:t>Ірпінської</w:t>
      </w:r>
      <w:proofErr w:type="spellEnd"/>
      <w:r w:rsidR="00712E8A" w:rsidRPr="00EB0C5D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="00712E8A" w:rsidRPr="00EB0C5D">
        <w:rPr>
          <w:sz w:val="28"/>
          <w:szCs w:val="28"/>
          <w:lang w:val="uk-UA"/>
        </w:rPr>
        <w:t xml:space="preserve"> </w:t>
      </w:r>
      <w:r w:rsidR="00712E8A" w:rsidRPr="00EB0C5D">
        <w:rPr>
          <w:sz w:val="28"/>
          <w:lang w:val="uk-UA"/>
        </w:rPr>
        <w:t>«Про затвердження  тарифів на  міські пасажирські перевезення для ТОВ «</w:t>
      </w:r>
      <w:proofErr w:type="spellStart"/>
      <w:r w:rsidR="00712E8A" w:rsidRPr="00EB0C5D">
        <w:rPr>
          <w:sz w:val="28"/>
          <w:lang w:val="uk-UA"/>
        </w:rPr>
        <w:t>Ірпінське</w:t>
      </w:r>
      <w:proofErr w:type="spellEnd"/>
      <w:r w:rsidR="00712E8A" w:rsidRPr="00EB0C5D">
        <w:rPr>
          <w:sz w:val="28"/>
          <w:lang w:val="uk-UA"/>
        </w:rPr>
        <w:t xml:space="preserve"> АТП 13250»</w:t>
      </w:r>
      <w:r w:rsidR="00B84B84" w:rsidRPr="00EB0C5D">
        <w:rPr>
          <w:sz w:val="28"/>
          <w:lang w:val="uk-UA"/>
        </w:rPr>
        <w:t>»</w:t>
      </w:r>
      <w:r w:rsidR="00712E8A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здійснювалося шляхом аналізу наступних кількісних показників: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0093D">
        <w:rPr>
          <w:sz w:val="28"/>
          <w:szCs w:val="28"/>
          <w:lang w:val="uk-UA"/>
        </w:rPr>
        <w:t xml:space="preserve">– </w:t>
      </w:r>
      <w:r w:rsidRPr="00255BE7">
        <w:rPr>
          <w:sz w:val="28"/>
          <w:szCs w:val="28"/>
          <w:lang w:val="uk-UA"/>
        </w:rPr>
        <w:t>кількість транспортних засобів суб’єкта господарювання, що перебувають у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належному технічному стані;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5BE7">
        <w:rPr>
          <w:sz w:val="28"/>
          <w:szCs w:val="28"/>
          <w:lang w:val="uk-UA"/>
        </w:rPr>
        <w:t>– кількість міських автобусних маршрутів, що обслуговуються суб’єктом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55BE7">
        <w:rPr>
          <w:sz w:val="28"/>
          <w:szCs w:val="28"/>
          <w:lang w:val="uk-UA"/>
        </w:rPr>
        <w:t>господарювання;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5BE7">
        <w:rPr>
          <w:sz w:val="28"/>
          <w:szCs w:val="28"/>
          <w:lang w:val="uk-UA"/>
        </w:rPr>
        <w:t>– кількість звернень громадян щодо якості надання відповідних послуг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суб’єктом господарювання;</w:t>
      </w:r>
    </w:p>
    <w:p w:rsidR="008769C2" w:rsidRDefault="008769C2" w:rsidP="00F46DE5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5BE7">
        <w:rPr>
          <w:sz w:val="28"/>
          <w:szCs w:val="28"/>
          <w:lang w:val="uk-UA"/>
        </w:rPr>
        <w:t>– кількість звернень громадян з питання підняття вартості проїзду на послуги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з перевезення пасажирів на автобусних маршрутах загального користування, що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обслуговуються суб’єктом господарювання.</w:t>
      </w:r>
    </w:p>
    <w:p w:rsidR="00C93C5B" w:rsidRDefault="008769C2" w:rsidP="00F46DE5">
      <w:pPr>
        <w:suppressAutoHyphens/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3C5B">
        <w:rPr>
          <w:b/>
          <w:bCs/>
          <w:sz w:val="28"/>
          <w:szCs w:val="28"/>
          <w:lang w:val="uk-UA"/>
        </w:rPr>
        <w:t>К</w:t>
      </w:r>
      <w:r w:rsidR="00C93C5B" w:rsidRPr="00377DC8">
        <w:rPr>
          <w:b/>
          <w:bCs/>
          <w:sz w:val="28"/>
          <w:szCs w:val="28"/>
          <w:lang w:val="uk-UA"/>
        </w:rPr>
        <w:t xml:space="preserve">ількісні та якісні значення показників результативності </w:t>
      </w:r>
      <w:proofErr w:type="spellStart"/>
      <w:r w:rsidR="00C93C5B" w:rsidRPr="00377DC8">
        <w:rPr>
          <w:b/>
          <w:bCs/>
          <w:sz w:val="28"/>
          <w:szCs w:val="28"/>
          <w:lang w:val="uk-UA"/>
        </w:rPr>
        <w:t>акта</w:t>
      </w:r>
      <w:proofErr w:type="spellEnd"/>
      <w:r w:rsidR="00C93C5B">
        <w:rPr>
          <w:b/>
          <w:bCs/>
          <w:sz w:val="28"/>
          <w:szCs w:val="28"/>
          <w:lang w:val="uk-UA"/>
        </w:rPr>
        <w:t>:</w:t>
      </w:r>
    </w:p>
    <w:tbl>
      <w:tblPr>
        <w:tblStyle w:val="a8"/>
        <w:tblW w:w="9634" w:type="dxa"/>
        <w:tblInd w:w="-5" w:type="dxa"/>
        <w:tblLook w:val="04A0" w:firstRow="1" w:lastRow="0" w:firstColumn="1" w:lastColumn="0" w:noHBand="0" w:noVBand="1"/>
      </w:tblPr>
      <w:tblGrid>
        <w:gridCol w:w="692"/>
        <w:gridCol w:w="3844"/>
        <w:gridCol w:w="2644"/>
        <w:gridCol w:w="2454"/>
      </w:tblGrid>
      <w:tr w:rsidR="00EE6454" w:rsidTr="00EF6568">
        <w:trPr>
          <w:trHeight w:val="564"/>
        </w:trPr>
        <w:tc>
          <w:tcPr>
            <w:tcW w:w="692" w:type="dxa"/>
            <w:vAlign w:val="center"/>
          </w:tcPr>
          <w:p w:rsidR="00EE6454" w:rsidRPr="00F123D6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44" w:type="dxa"/>
            <w:vAlign w:val="center"/>
          </w:tcPr>
          <w:p w:rsidR="00EE6454" w:rsidRPr="00F123D6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>Показники результативності</w:t>
            </w:r>
          </w:p>
        </w:tc>
        <w:tc>
          <w:tcPr>
            <w:tcW w:w="2644" w:type="dxa"/>
            <w:vAlign w:val="center"/>
          </w:tcPr>
          <w:p w:rsidR="00EE6454" w:rsidRPr="00F123D6" w:rsidRDefault="005A2C12" w:rsidP="006025FF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 xml:space="preserve"> </w:t>
            </w:r>
            <w:r w:rsidR="00EE6454" w:rsidRPr="00F123D6">
              <w:rPr>
                <w:sz w:val="28"/>
                <w:szCs w:val="28"/>
                <w:lang w:val="uk-UA"/>
              </w:rPr>
              <w:t>19.0</w:t>
            </w:r>
            <w:r w:rsidR="00F46DE5" w:rsidRPr="00F123D6">
              <w:rPr>
                <w:sz w:val="28"/>
                <w:szCs w:val="28"/>
                <w:lang w:val="uk-UA"/>
              </w:rPr>
              <w:t xml:space="preserve">6.2023 - </w:t>
            </w:r>
            <w:r w:rsidR="006025FF" w:rsidRPr="00F123D6">
              <w:rPr>
                <w:sz w:val="28"/>
                <w:szCs w:val="28"/>
                <w:lang w:val="uk-UA"/>
              </w:rPr>
              <w:t>23</w:t>
            </w:r>
            <w:r w:rsidR="00EE6454" w:rsidRPr="00F123D6">
              <w:rPr>
                <w:sz w:val="28"/>
                <w:szCs w:val="28"/>
                <w:lang w:val="uk-UA"/>
              </w:rPr>
              <w:t>.06.2023</w:t>
            </w:r>
          </w:p>
        </w:tc>
        <w:tc>
          <w:tcPr>
            <w:tcW w:w="2454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>Примітка</w:t>
            </w:r>
            <w:bookmarkStart w:id="0" w:name="_GoBack"/>
            <w:bookmarkEnd w:id="0"/>
          </w:p>
        </w:tc>
      </w:tr>
      <w:tr w:rsidR="00F46DE5" w:rsidRPr="00FF4975" w:rsidTr="00EF6568">
        <w:tc>
          <w:tcPr>
            <w:tcW w:w="692" w:type="dxa"/>
          </w:tcPr>
          <w:p w:rsidR="00F46DE5" w:rsidRDefault="00F46DE5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44" w:type="dxa"/>
          </w:tcPr>
          <w:p w:rsidR="00F46DE5" w:rsidRDefault="00F46DE5" w:rsidP="00C974CC">
            <w:pPr>
              <w:jc w:val="both"/>
              <w:rPr>
                <w:sz w:val="28"/>
                <w:szCs w:val="28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транспортних засобів суб’єкт</w:t>
            </w:r>
            <w:r w:rsidR="009E3403">
              <w:rPr>
                <w:sz w:val="26"/>
                <w:szCs w:val="26"/>
                <w:lang w:val="uk-UA"/>
              </w:rPr>
              <w:t>а</w:t>
            </w:r>
            <w:r w:rsidRPr="00255BE7">
              <w:rPr>
                <w:sz w:val="26"/>
                <w:szCs w:val="26"/>
                <w:lang w:val="uk-UA"/>
              </w:rPr>
              <w:t xml:space="preserve"> господарювання, що перебувають у належному технічному стані</w:t>
            </w:r>
            <w:r w:rsidR="00D75485">
              <w:rPr>
                <w:sz w:val="26"/>
                <w:szCs w:val="26"/>
                <w:lang w:val="uk-UA"/>
              </w:rPr>
              <w:t>, що обслуговують міські маршрути</w:t>
            </w:r>
          </w:p>
        </w:tc>
        <w:tc>
          <w:tcPr>
            <w:tcW w:w="2644" w:type="dxa"/>
            <w:vAlign w:val="center"/>
          </w:tcPr>
          <w:p w:rsidR="00F46DE5" w:rsidRPr="00956342" w:rsidRDefault="00D75485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54" w:type="dxa"/>
          </w:tcPr>
          <w:p w:rsidR="00F46DE5" w:rsidRDefault="00F46DE5" w:rsidP="00C974CC">
            <w:pPr>
              <w:jc w:val="center"/>
              <w:rPr>
                <w:lang w:val="uk-UA"/>
              </w:rPr>
            </w:pPr>
          </w:p>
          <w:p w:rsidR="00D75485" w:rsidRDefault="00D75485" w:rsidP="00C974CC">
            <w:pPr>
              <w:jc w:val="center"/>
              <w:rPr>
                <w:lang w:val="uk-UA"/>
              </w:rPr>
            </w:pPr>
          </w:p>
          <w:p w:rsidR="009E3403" w:rsidRPr="00956342" w:rsidRDefault="009E3403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Станом на 01.06.2023</w:t>
            </w:r>
          </w:p>
        </w:tc>
      </w:tr>
      <w:tr w:rsidR="00F46DE5" w:rsidRPr="00FF4975" w:rsidTr="00EF6568">
        <w:tc>
          <w:tcPr>
            <w:tcW w:w="692" w:type="dxa"/>
          </w:tcPr>
          <w:p w:rsidR="00F46DE5" w:rsidRDefault="00F46DE5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44" w:type="dxa"/>
          </w:tcPr>
          <w:p w:rsidR="00F46DE5" w:rsidRDefault="00F46DE5" w:rsidP="00C974CC">
            <w:pPr>
              <w:jc w:val="both"/>
              <w:rPr>
                <w:sz w:val="28"/>
                <w:szCs w:val="28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міських автобусних маршрутів, що обслуговуються суб’єктом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55BE7">
              <w:rPr>
                <w:sz w:val="26"/>
                <w:szCs w:val="26"/>
                <w:lang w:val="uk-UA"/>
              </w:rPr>
              <w:t>господарювання</w:t>
            </w:r>
          </w:p>
        </w:tc>
        <w:tc>
          <w:tcPr>
            <w:tcW w:w="2644" w:type="dxa"/>
            <w:vAlign w:val="center"/>
          </w:tcPr>
          <w:p w:rsidR="00F46DE5" w:rsidRDefault="00EF6568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54" w:type="dxa"/>
          </w:tcPr>
          <w:p w:rsidR="009E3403" w:rsidRDefault="009E3403" w:rsidP="00C974CC">
            <w:pPr>
              <w:jc w:val="center"/>
              <w:rPr>
                <w:lang w:val="uk-UA"/>
              </w:rPr>
            </w:pPr>
          </w:p>
          <w:p w:rsidR="00F46DE5" w:rsidRDefault="009E3403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Станом на 01.06.2023</w:t>
            </w:r>
          </w:p>
        </w:tc>
      </w:tr>
      <w:tr w:rsidR="00EE6454" w:rsidTr="00EF6568">
        <w:tc>
          <w:tcPr>
            <w:tcW w:w="692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44" w:type="dxa"/>
          </w:tcPr>
          <w:p w:rsidR="00EE6454" w:rsidRPr="00F53B62" w:rsidRDefault="00EE6454" w:rsidP="00C974CC">
            <w:pPr>
              <w:jc w:val="both"/>
              <w:rPr>
                <w:sz w:val="28"/>
                <w:szCs w:val="28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звернень громадян щодо якості надання відповідних послуг суб’єкт</w:t>
            </w:r>
            <w:r>
              <w:rPr>
                <w:sz w:val="26"/>
                <w:szCs w:val="26"/>
                <w:lang w:val="uk-UA"/>
              </w:rPr>
              <w:t xml:space="preserve">ами </w:t>
            </w:r>
            <w:r w:rsidRPr="00255BE7">
              <w:rPr>
                <w:sz w:val="26"/>
                <w:szCs w:val="26"/>
                <w:lang w:val="uk-UA"/>
              </w:rPr>
              <w:t>господарювання</w:t>
            </w:r>
          </w:p>
        </w:tc>
        <w:tc>
          <w:tcPr>
            <w:tcW w:w="2644" w:type="dxa"/>
            <w:vAlign w:val="center"/>
          </w:tcPr>
          <w:p w:rsidR="00EE6454" w:rsidRPr="00235821" w:rsidRDefault="00EF6568" w:rsidP="00C97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54" w:type="dxa"/>
          </w:tcPr>
          <w:p w:rsidR="00E23648" w:rsidRDefault="00E23648" w:rsidP="00E23648">
            <w:pPr>
              <w:jc w:val="center"/>
              <w:rPr>
                <w:lang w:val="uk-UA"/>
              </w:rPr>
            </w:pPr>
          </w:p>
          <w:p w:rsidR="00EE6454" w:rsidRDefault="001A76CA" w:rsidP="00E23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січень-</w:t>
            </w:r>
            <w:r w:rsidR="00E23648">
              <w:rPr>
                <w:lang w:val="uk-UA"/>
              </w:rPr>
              <w:t xml:space="preserve">червень </w:t>
            </w:r>
            <w:r w:rsidR="00EE6454">
              <w:rPr>
                <w:lang w:val="uk-UA"/>
              </w:rPr>
              <w:t>202</w:t>
            </w:r>
            <w:r w:rsidR="00E23648">
              <w:rPr>
                <w:lang w:val="uk-UA"/>
              </w:rPr>
              <w:t>3</w:t>
            </w:r>
          </w:p>
        </w:tc>
      </w:tr>
      <w:tr w:rsidR="00EE6454" w:rsidTr="00EF6568">
        <w:tc>
          <w:tcPr>
            <w:tcW w:w="692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844" w:type="dxa"/>
          </w:tcPr>
          <w:p w:rsidR="00EE6454" w:rsidRPr="00255BE7" w:rsidRDefault="00EE6454" w:rsidP="00C974CC">
            <w:pPr>
              <w:jc w:val="both"/>
              <w:rPr>
                <w:sz w:val="26"/>
                <w:szCs w:val="26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звернень громадян з питання підняття вартості проїзду на послуги з перевезення пасажирів на автобусних маршрутах загального користування, що обслуговуються суб’єктом господарювання</w:t>
            </w:r>
          </w:p>
        </w:tc>
        <w:tc>
          <w:tcPr>
            <w:tcW w:w="2644" w:type="dxa"/>
            <w:vAlign w:val="center"/>
          </w:tcPr>
          <w:p w:rsidR="00EE6454" w:rsidRDefault="00EF6568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54" w:type="dxa"/>
          </w:tcPr>
          <w:p w:rsidR="00EF6568" w:rsidRDefault="00EF6568" w:rsidP="00C974CC">
            <w:pPr>
              <w:jc w:val="center"/>
              <w:rPr>
                <w:lang w:val="uk-UA"/>
              </w:rPr>
            </w:pPr>
          </w:p>
          <w:p w:rsidR="00EF6568" w:rsidRDefault="00EF6568" w:rsidP="00C974CC">
            <w:pPr>
              <w:jc w:val="center"/>
              <w:rPr>
                <w:lang w:val="uk-UA"/>
              </w:rPr>
            </w:pPr>
          </w:p>
          <w:p w:rsidR="00EF6568" w:rsidRDefault="00EF6568" w:rsidP="00C974CC">
            <w:pPr>
              <w:jc w:val="center"/>
              <w:rPr>
                <w:lang w:val="uk-UA"/>
              </w:rPr>
            </w:pPr>
          </w:p>
          <w:p w:rsidR="00EE6454" w:rsidRDefault="00E23648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січень-червень 2023</w:t>
            </w:r>
          </w:p>
        </w:tc>
      </w:tr>
      <w:tr w:rsidR="00EE6454" w:rsidTr="00EF6568">
        <w:tc>
          <w:tcPr>
            <w:tcW w:w="692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44" w:type="dxa"/>
          </w:tcPr>
          <w:p w:rsidR="00EE6454" w:rsidRPr="00255BE7" w:rsidRDefault="00EE6454" w:rsidP="00C974CC">
            <w:pPr>
              <w:jc w:val="both"/>
              <w:rPr>
                <w:sz w:val="26"/>
                <w:szCs w:val="26"/>
                <w:lang w:val="uk-UA"/>
              </w:rPr>
            </w:pPr>
            <w:r w:rsidRPr="005C2C69">
              <w:rPr>
                <w:sz w:val="26"/>
                <w:szCs w:val="26"/>
                <w:lang w:val="uk-UA"/>
              </w:rPr>
              <w:t>показники якості надання послуг пасажирського транспорту загального користування (згідно з опитуваннями, консультаціями з громадськістю</w:t>
            </w:r>
          </w:p>
        </w:tc>
        <w:tc>
          <w:tcPr>
            <w:tcW w:w="2644" w:type="dxa"/>
            <w:vAlign w:val="center"/>
          </w:tcPr>
          <w:p w:rsidR="00EE6454" w:rsidRDefault="00EE6454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4" w:type="dxa"/>
          </w:tcPr>
          <w:p w:rsidR="00E23648" w:rsidRDefault="00E23648" w:rsidP="00C974CC">
            <w:pPr>
              <w:jc w:val="center"/>
              <w:rPr>
                <w:lang w:val="uk-UA"/>
              </w:rPr>
            </w:pPr>
          </w:p>
          <w:p w:rsidR="00EE6454" w:rsidRDefault="00EE6454" w:rsidP="00E23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зв’язку із </w:t>
            </w:r>
            <w:r w:rsidR="00E23648">
              <w:rPr>
                <w:lang w:val="uk-UA"/>
              </w:rPr>
              <w:t>дією</w:t>
            </w:r>
            <w:r>
              <w:rPr>
                <w:lang w:val="uk-UA"/>
              </w:rPr>
              <w:t xml:space="preserve"> воєнного стану не проводилося</w:t>
            </w:r>
          </w:p>
        </w:tc>
      </w:tr>
    </w:tbl>
    <w:p w:rsidR="00C93C5B" w:rsidRDefault="00C93C5B" w:rsidP="00C93C5B">
      <w:pPr>
        <w:jc w:val="both"/>
        <w:rPr>
          <w:b/>
          <w:bCs/>
          <w:sz w:val="28"/>
          <w:szCs w:val="28"/>
          <w:lang w:val="uk-UA"/>
        </w:rPr>
      </w:pPr>
    </w:p>
    <w:p w:rsidR="00C93C5B" w:rsidRDefault="00C93C5B" w:rsidP="00C93C5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Pr="00CA3F8D">
        <w:rPr>
          <w:b/>
          <w:bCs/>
          <w:sz w:val="28"/>
          <w:szCs w:val="28"/>
          <w:lang w:val="uk-UA"/>
        </w:rPr>
        <w:t>цінка</w:t>
      </w:r>
      <w:r>
        <w:rPr>
          <w:b/>
          <w:bCs/>
          <w:sz w:val="28"/>
          <w:szCs w:val="28"/>
          <w:lang w:val="uk-UA"/>
        </w:rPr>
        <w:t xml:space="preserve"> результатів реалізації </w:t>
      </w:r>
      <w:proofErr w:type="spellStart"/>
      <w:r>
        <w:rPr>
          <w:b/>
          <w:bCs/>
          <w:sz w:val="28"/>
          <w:szCs w:val="28"/>
          <w:lang w:val="uk-UA"/>
        </w:rPr>
        <w:t>акта</w:t>
      </w:r>
      <w:proofErr w:type="spellEnd"/>
      <w:r>
        <w:rPr>
          <w:b/>
          <w:bCs/>
          <w:sz w:val="28"/>
          <w:szCs w:val="28"/>
          <w:lang w:val="uk-UA"/>
        </w:rPr>
        <w:t xml:space="preserve"> та </w:t>
      </w:r>
      <w:r w:rsidRPr="00CA3F8D">
        <w:rPr>
          <w:b/>
          <w:bCs/>
          <w:sz w:val="28"/>
          <w:szCs w:val="28"/>
          <w:lang w:val="uk-UA"/>
        </w:rPr>
        <w:t>ступеня досягнення  визначених цілей</w:t>
      </w:r>
      <w:r>
        <w:rPr>
          <w:b/>
          <w:bCs/>
          <w:sz w:val="28"/>
          <w:szCs w:val="28"/>
          <w:lang w:val="uk-UA"/>
        </w:rPr>
        <w:t>:</w:t>
      </w:r>
    </w:p>
    <w:p w:rsidR="005A2C12" w:rsidRPr="00183734" w:rsidRDefault="00B550BB" w:rsidP="0068296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3679A7">
        <w:rPr>
          <w:color w:val="000000"/>
          <w:sz w:val="28"/>
          <w:szCs w:val="28"/>
          <w:lang w:val="uk-UA"/>
        </w:rPr>
        <w:t xml:space="preserve"> </w:t>
      </w:r>
      <w:r w:rsidR="005A2C12">
        <w:rPr>
          <w:color w:val="000000"/>
          <w:sz w:val="28"/>
          <w:szCs w:val="28"/>
          <w:lang w:val="uk-UA"/>
        </w:rPr>
        <w:t>Прийняття</w:t>
      </w:r>
      <w:r w:rsidR="005A2C12" w:rsidRPr="00403484">
        <w:rPr>
          <w:color w:val="000000"/>
          <w:sz w:val="28"/>
          <w:szCs w:val="28"/>
          <w:lang w:val="uk-UA"/>
        </w:rPr>
        <w:t xml:space="preserve"> даного регуляторного акту </w:t>
      </w:r>
      <w:r w:rsidR="00341F99">
        <w:rPr>
          <w:color w:val="000000"/>
          <w:sz w:val="28"/>
          <w:szCs w:val="28"/>
          <w:lang w:val="uk-UA"/>
        </w:rPr>
        <w:t>забезпечить</w:t>
      </w:r>
      <w:r w:rsidR="005A2C12">
        <w:rPr>
          <w:color w:val="000000"/>
          <w:sz w:val="28"/>
          <w:szCs w:val="28"/>
          <w:lang w:val="uk-UA"/>
        </w:rPr>
        <w:t xml:space="preserve"> досягнення </w:t>
      </w:r>
      <w:r w:rsidR="005A2C12" w:rsidRPr="00403484">
        <w:rPr>
          <w:color w:val="000000"/>
          <w:sz w:val="28"/>
          <w:szCs w:val="28"/>
          <w:lang w:val="uk-UA"/>
        </w:rPr>
        <w:t xml:space="preserve">задекларованих цілей, </w:t>
      </w:r>
      <w:r w:rsidR="005A2C12">
        <w:rPr>
          <w:color w:val="000000"/>
          <w:sz w:val="28"/>
          <w:szCs w:val="28"/>
          <w:lang w:val="uk-UA"/>
        </w:rPr>
        <w:t>що</w:t>
      </w:r>
      <w:r w:rsidR="00A8603A">
        <w:rPr>
          <w:color w:val="000000"/>
          <w:sz w:val="28"/>
          <w:szCs w:val="28"/>
          <w:lang w:val="uk-UA"/>
        </w:rPr>
        <w:t xml:space="preserve"> став</w:t>
      </w:r>
      <w:r>
        <w:rPr>
          <w:color w:val="000000"/>
          <w:sz w:val="28"/>
          <w:szCs w:val="28"/>
          <w:lang w:val="uk-UA"/>
        </w:rPr>
        <w:t>ляться</w:t>
      </w:r>
      <w:r w:rsidR="005A2C12">
        <w:rPr>
          <w:color w:val="000000"/>
          <w:sz w:val="28"/>
          <w:szCs w:val="28"/>
          <w:lang w:val="uk-UA"/>
        </w:rPr>
        <w:t xml:space="preserve"> за мету при його прийнятті. Водночас </w:t>
      </w:r>
      <w:r w:rsidR="00341F99">
        <w:rPr>
          <w:color w:val="000000"/>
          <w:sz w:val="28"/>
          <w:szCs w:val="28"/>
          <w:lang w:val="uk-UA"/>
        </w:rPr>
        <w:t>дія</w:t>
      </w:r>
      <w:r w:rsidR="005A2C12">
        <w:rPr>
          <w:color w:val="000000"/>
          <w:sz w:val="28"/>
          <w:szCs w:val="28"/>
          <w:lang w:val="uk-UA"/>
        </w:rPr>
        <w:t xml:space="preserve"> </w:t>
      </w:r>
      <w:r w:rsidR="005A2C12" w:rsidRPr="00183734">
        <w:rPr>
          <w:sz w:val="28"/>
          <w:szCs w:val="28"/>
          <w:lang w:val="uk-UA"/>
        </w:rPr>
        <w:t xml:space="preserve">воєнного стану, як чинник форс-мажорного характеру, </w:t>
      </w:r>
      <w:r w:rsidR="00341F99" w:rsidRPr="00183734">
        <w:rPr>
          <w:sz w:val="28"/>
          <w:szCs w:val="28"/>
          <w:lang w:val="uk-UA"/>
        </w:rPr>
        <w:t>впливає на зростання витрат суб’єкта</w:t>
      </w:r>
      <w:r w:rsidR="005A2C12" w:rsidRPr="00183734">
        <w:rPr>
          <w:sz w:val="28"/>
          <w:szCs w:val="28"/>
          <w:lang w:val="uk-UA"/>
        </w:rPr>
        <w:t xml:space="preserve"> господарювання (складових тарифу), що в подальшому може зумовити перегляд зазначеного або прийняття нового регуляторного </w:t>
      </w:r>
      <w:proofErr w:type="spellStart"/>
      <w:r w:rsidR="005A2C12" w:rsidRPr="00183734">
        <w:rPr>
          <w:sz w:val="28"/>
          <w:szCs w:val="28"/>
          <w:lang w:val="uk-UA"/>
        </w:rPr>
        <w:t>акта</w:t>
      </w:r>
      <w:proofErr w:type="spellEnd"/>
      <w:r w:rsidR="005A2C12" w:rsidRPr="00183734">
        <w:rPr>
          <w:sz w:val="28"/>
          <w:szCs w:val="28"/>
          <w:lang w:val="uk-UA"/>
        </w:rPr>
        <w:t xml:space="preserve">. </w:t>
      </w:r>
      <w:r w:rsidR="00682969" w:rsidRPr="00183734">
        <w:rPr>
          <w:sz w:val="28"/>
          <w:szCs w:val="28"/>
          <w:lang w:val="uk-UA"/>
        </w:rPr>
        <w:t xml:space="preserve">Подальшу оцінку результатів реалізації регуляторного </w:t>
      </w:r>
      <w:proofErr w:type="spellStart"/>
      <w:r w:rsidR="00682969" w:rsidRPr="00183734">
        <w:rPr>
          <w:sz w:val="28"/>
          <w:szCs w:val="28"/>
          <w:lang w:val="uk-UA"/>
        </w:rPr>
        <w:t>акта</w:t>
      </w:r>
      <w:proofErr w:type="spellEnd"/>
      <w:r w:rsidR="00682969" w:rsidRPr="00183734">
        <w:rPr>
          <w:sz w:val="28"/>
          <w:szCs w:val="28"/>
          <w:lang w:val="uk-UA"/>
        </w:rPr>
        <w:t xml:space="preserve"> та ступінь досягнення визначених цілей буде здійснено при проведені повторного та періодичного </w:t>
      </w:r>
      <w:proofErr w:type="spellStart"/>
      <w:r w:rsidR="00682969" w:rsidRPr="00183734">
        <w:rPr>
          <w:sz w:val="28"/>
          <w:szCs w:val="28"/>
          <w:lang w:val="uk-UA"/>
        </w:rPr>
        <w:t>відстежень</w:t>
      </w:r>
      <w:proofErr w:type="spellEnd"/>
      <w:r w:rsidR="00682969" w:rsidRPr="00183734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="00682969" w:rsidRPr="00183734">
        <w:rPr>
          <w:sz w:val="28"/>
          <w:szCs w:val="28"/>
          <w:lang w:val="uk-UA"/>
        </w:rPr>
        <w:t>акта</w:t>
      </w:r>
      <w:proofErr w:type="spellEnd"/>
      <w:r w:rsidR="00682969" w:rsidRPr="00183734">
        <w:rPr>
          <w:sz w:val="28"/>
          <w:szCs w:val="28"/>
          <w:lang w:val="uk-UA"/>
        </w:rPr>
        <w:t xml:space="preserve"> згідно вимог Закону України «Про засади державної регуляторної політики у сфері господарської діяльності»</w:t>
      </w:r>
      <w:r w:rsidR="005A2C12" w:rsidRPr="00183734">
        <w:rPr>
          <w:sz w:val="28"/>
          <w:szCs w:val="28"/>
          <w:lang w:val="uk-UA"/>
        </w:rPr>
        <w:t>, а саме:</w:t>
      </w:r>
    </w:p>
    <w:p w:rsidR="005A2C12" w:rsidRPr="00403484" w:rsidRDefault="000635BA" w:rsidP="005A2C1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A2C12">
        <w:rPr>
          <w:sz w:val="28"/>
          <w:szCs w:val="28"/>
          <w:lang w:val="uk-UA"/>
        </w:rPr>
        <w:t>- п</w:t>
      </w:r>
      <w:r w:rsidR="005A2C12" w:rsidRPr="00403484">
        <w:rPr>
          <w:sz w:val="28"/>
          <w:szCs w:val="28"/>
          <w:lang w:val="uk-UA"/>
        </w:rPr>
        <w:t xml:space="preserve">овторне відстеження результативності регуляторного </w:t>
      </w:r>
      <w:proofErr w:type="spellStart"/>
      <w:r w:rsidR="005A2C12" w:rsidRPr="00403484">
        <w:rPr>
          <w:sz w:val="28"/>
          <w:szCs w:val="28"/>
          <w:lang w:val="uk-UA"/>
        </w:rPr>
        <w:t>акта</w:t>
      </w:r>
      <w:proofErr w:type="spellEnd"/>
      <w:r w:rsidR="005A2C12" w:rsidRPr="00403484">
        <w:rPr>
          <w:sz w:val="28"/>
          <w:szCs w:val="28"/>
          <w:lang w:val="uk-UA"/>
        </w:rPr>
        <w:t xml:space="preserve"> буде здійснено через рік з дня набрання ним чинності, але не пізніше двох років з </w:t>
      </w:r>
      <w:r w:rsidR="005A2C12">
        <w:rPr>
          <w:sz w:val="28"/>
          <w:szCs w:val="28"/>
          <w:lang w:val="uk-UA"/>
        </w:rPr>
        <w:t>дня набрання чинності цим актом;</w:t>
      </w:r>
      <w:r w:rsidR="005A2C12" w:rsidRPr="00403484">
        <w:rPr>
          <w:sz w:val="28"/>
          <w:szCs w:val="28"/>
          <w:lang w:val="uk-UA"/>
        </w:rPr>
        <w:t xml:space="preserve"> </w:t>
      </w:r>
    </w:p>
    <w:p w:rsidR="005A2C12" w:rsidRPr="00403484" w:rsidRDefault="000635BA" w:rsidP="005A2C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A2C12">
        <w:rPr>
          <w:sz w:val="28"/>
          <w:szCs w:val="28"/>
          <w:lang w:val="uk-UA"/>
        </w:rPr>
        <w:t>- п</w:t>
      </w:r>
      <w:r w:rsidR="005A2C12" w:rsidRPr="00403484">
        <w:rPr>
          <w:sz w:val="28"/>
          <w:szCs w:val="28"/>
          <w:lang w:val="uk-UA"/>
        </w:rPr>
        <w:t xml:space="preserve">еріодичне відстеження результативності -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="005A2C12" w:rsidRPr="00403484">
        <w:rPr>
          <w:sz w:val="28"/>
          <w:szCs w:val="28"/>
          <w:lang w:val="uk-UA"/>
        </w:rPr>
        <w:t>акта</w:t>
      </w:r>
      <w:proofErr w:type="spellEnd"/>
      <w:r w:rsidR="005A2C12" w:rsidRPr="00403484">
        <w:rPr>
          <w:sz w:val="28"/>
          <w:szCs w:val="28"/>
          <w:lang w:val="uk-UA"/>
        </w:rPr>
        <w:t xml:space="preserve">. </w:t>
      </w:r>
    </w:p>
    <w:p w:rsidR="00312F96" w:rsidRDefault="00312F96" w:rsidP="00046073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</w:p>
    <w:p w:rsidR="00B64339" w:rsidRDefault="00B64339" w:rsidP="00C93C5B">
      <w:pPr>
        <w:rPr>
          <w:sz w:val="27"/>
          <w:szCs w:val="27"/>
          <w:lang w:val="uk-UA"/>
        </w:rPr>
      </w:pPr>
    </w:p>
    <w:p w:rsidR="00B64339" w:rsidRDefault="00B64339" w:rsidP="00014EB6">
      <w:pPr>
        <w:rPr>
          <w:b/>
          <w:sz w:val="28"/>
          <w:szCs w:val="28"/>
          <w:lang w:val="uk-UA"/>
        </w:rPr>
      </w:pPr>
    </w:p>
    <w:p w:rsidR="00B64339" w:rsidRDefault="00B64339" w:rsidP="00014EB6">
      <w:pPr>
        <w:rPr>
          <w:b/>
          <w:sz w:val="28"/>
          <w:szCs w:val="28"/>
          <w:lang w:val="uk-UA"/>
        </w:rPr>
      </w:pPr>
    </w:p>
    <w:p w:rsidR="009A253C" w:rsidRDefault="009A253C" w:rsidP="009A253C">
      <w:pPr>
        <w:rPr>
          <w:b/>
          <w:color w:val="000000" w:themeColor="text1"/>
          <w:sz w:val="28"/>
          <w:szCs w:val="28"/>
          <w:shd w:val="clear" w:color="auto" w:fill="FEFEFE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Директор </w:t>
      </w:r>
    </w:p>
    <w:p w:rsidR="009A253C" w:rsidRPr="00A533C6" w:rsidRDefault="009A253C" w:rsidP="009A253C">
      <w:pPr>
        <w:rPr>
          <w:b/>
          <w:color w:val="000000" w:themeColor="text1"/>
          <w:sz w:val="28"/>
          <w:szCs w:val="28"/>
          <w:shd w:val="clear" w:color="auto" w:fill="FEFEFE"/>
          <w:lang w:val="uk-UA"/>
        </w:rPr>
      </w:pPr>
      <w:r w:rsidRPr="00614069">
        <w:rPr>
          <w:b/>
          <w:sz w:val="28"/>
          <w:lang w:val="uk-UA"/>
        </w:rPr>
        <w:t>ТОВ «</w:t>
      </w:r>
      <w:proofErr w:type="spellStart"/>
      <w:r w:rsidRPr="00614069">
        <w:rPr>
          <w:b/>
          <w:sz w:val="28"/>
          <w:lang w:val="uk-UA"/>
        </w:rPr>
        <w:t>Ірпінське</w:t>
      </w:r>
      <w:proofErr w:type="spellEnd"/>
      <w:r w:rsidRPr="00614069">
        <w:rPr>
          <w:b/>
          <w:sz w:val="28"/>
          <w:lang w:val="uk-UA"/>
        </w:rPr>
        <w:t xml:space="preserve"> АТП 13250»</w:t>
      </w: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Pr="00A533C6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                   </w:t>
      </w:r>
      <w:r w:rsidR="0045500C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</w:t>
      </w:r>
      <w:r w:rsidRPr="00A533C6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   </w:t>
      </w: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>Олександр ЛАБУНСЬКИЙ</w:t>
      </w:r>
    </w:p>
    <w:p w:rsidR="00957B80" w:rsidRPr="00C93C5B" w:rsidRDefault="00957B80">
      <w:pPr>
        <w:rPr>
          <w:lang w:val="uk-UA"/>
        </w:rPr>
      </w:pPr>
    </w:p>
    <w:sectPr w:rsidR="00957B80" w:rsidRPr="00C93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430D"/>
    <w:multiLevelType w:val="hybridMultilevel"/>
    <w:tmpl w:val="8320FBAE"/>
    <w:lvl w:ilvl="0" w:tplc="45F8C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B0F28"/>
    <w:multiLevelType w:val="hybridMultilevel"/>
    <w:tmpl w:val="292A81E4"/>
    <w:lvl w:ilvl="0" w:tplc="86225712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6CEC"/>
    <w:multiLevelType w:val="hybridMultilevel"/>
    <w:tmpl w:val="97007AE8"/>
    <w:lvl w:ilvl="0" w:tplc="10861F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C"/>
    <w:rsid w:val="00014EB6"/>
    <w:rsid w:val="00046073"/>
    <w:rsid w:val="000635BA"/>
    <w:rsid w:val="00173981"/>
    <w:rsid w:val="00183734"/>
    <w:rsid w:val="001A76CA"/>
    <w:rsid w:val="00247CE4"/>
    <w:rsid w:val="00312F96"/>
    <w:rsid w:val="00341F99"/>
    <w:rsid w:val="003679A7"/>
    <w:rsid w:val="0045500C"/>
    <w:rsid w:val="004C37C3"/>
    <w:rsid w:val="0059358C"/>
    <w:rsid w:val="005A2C12"/>
    <w:rsid w:val="005F7222"/>
    <w:rsid w:val="006025FF"/>
    <w:rsid w:val="00603B8C"/>
    <w:rsid w:val="0066136B"/>
    <w:rsid w:val="00666E1C"/>
    <w:rsid w:val="00682969"/>
    <w:rsid w:val="00712E8A"/>
    <w:rsid w:val="007B0157"/>
    <w:rsid w:val="007E3262"/>
    <w:rsid w:val="008769C2"/>
    <w:rsid w:val="00957B80"/>
    <w:rsid w:val="00980807"/>
    <w:rsid w:val="009973E6"/>
    <w:rsid w:val="009A253C"/>
    <w:rsid w:val="009E3403"/>
    <w:rsid w:val="00A8603A"/>
    <w:rsid w:val="00AF1D5F"/>
    <w:rsid w:val="00B550BB"/>
    <w:rsid w:val="00B64339"/>
    <w:rsid w:val="00B84B84"/>
    <w:rsid w:val="00BF2AD1"/>
    <w:rsid w:val="00C93C5B"/>
    <w:rsid w:val="00CB7BE6"/>
    <w:rsid w:val="00D75485"/>
    <w:rsid w:val="00E0093D"/>
    <w:rsid w:val="00E23648"/>
    <w:rsid w:val="00EB0C5D"/>
    <w:rsid w:val="00EE6454"/>
    <w:rsid w:val="00EF6568"/>
    <w:rsid w:val="00F068CC"/>
    <w:rsid w:val="00F123D6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56B8-B50E-4D34-9721-676B9B7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4E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3C5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93C5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14EB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12F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9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CB7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EE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WorkStation0100</cp:lastModifiedBy>
  <cp:revision>24</cp:revision>
  <cp:lastPrinted>2023-06-20T10:26:00Z</cp:lastPrinted>
  <dcterms:created xsi:type="dcterms:W3CDTF">2021-11-30T11:25:00Z</dcterms:created>
  <dcterms:modified xsi:type="dcterms:W3CDTF">2023-06-27T05:54:00Z</dcterms:modified>
</cp:coreProperties>
</file>