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A9" w:rsidRPr="00526AED" w:rsidRDefault="00B0320D" w:rsidP="00B0320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6AED">
        <w:rPr>
          <w:rFonts w:ascii="Times New Roman" w:hAnsi="Times New Roman" w:cs="Times New Roman"/>
          <w:b/>
          <w:sz w:val="32"/>
          <w:szCs w:val="32"/>
          <w:lang w:val="en-US"/>
        </w:rPr>
        <w:t xml:space="preserve">SWOT – </w:t>
      </w:r>
      <w:r w:rsidRPr="00526AED">
        <w:rPr>
          <w:rFonts w:ascii="Times New Roman" w:hAnsi="Times New Roman" w:cs="Times New Roman"/>
          <w:b/>
          <w:sz w:val="32"/>
          <w:szCs w:val="32"/>
          <w:lang w:val="uk-UA"/>
        </w:rPr>
        <w:t>аналіз</w:t>
      </w:r>
    </w:p>
    <w:p w:rsidR="00526AED" w:rsidRDefault="00526AED" w:rsidP="00B0320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320D" w:rsidRPr="00526AED" w:rsidRDefault="00B0320D" w:rsidP="00B0320D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 w:cs="Arial"/>
          <w:b/>
          <w:bCs/>
          <w:i/>
          <w:iCs/>
          <w:color w:val="17375E"/>
          <w:kern w:val="32"/>
          <w:sz w:val="28"/>
          <w:szCs w:val="28"/>
          <w:lang w:val="uk-UA"/>
        </w:rPr>
      </w:pPr>
      <w:r w:rsidRPr="00B0320D">
        <w:rPr>
          <w:rFonts w:eastAsia="Calibri" w:cs="Arial"/>
          <w:b/>
          <w:bCs/>
          <w:color w:val="C00000"/>
          <w:kern w:val="32"/>
          <w:lang w:val="uk-UA"/>
        </w:rPr>
        <w:t>СТРАТЕГІЧНИЙ НАПРЯМ А</w:t>
      </w:r>
      <w:r w:rsidRPr="00B0320D">
        <w:rPr>
          <w:rFonts w:eastAsia="Calibri" w:cs="Arial"/>
          <w:color w:val="C00000"/>
          <w:kern w:val="32"/>
          <w:lang w:val="uk-UA"/>
        </w:rPr>
        <w:t xml:space="preserve">. </w:t>
      </w:r>
      <w:r w:rsidRPr="00526AED">
        <w:rPr>
          <w:rFonts w:eastAsia="Calibri" w:cs="Arial"/>
          <w:b/>
          <w:bCs/>
          <w:i/>
          <w:iCs/>
          <w:color w:val="17375E"/>
          <w:kern w:val="32"/>
          <w:sz w:val="28"/>
          <w:szCs w:val="28"/>
          <w:lang w:val="uk-UA"/>
        </w:rPr>
        <w:t>Трансформація економіки громади в інноваційну, «зелену» циркулярну модель розвитку та інвестиційної привабливості</w:t>
      </w:r>
    </w:p>
    <w:p w:rsidR="001B7328" w:rsidRDefault="001B7328" w:rsidP="00B0320D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 w:cs="Arial"/>
          <w:b/>
          <w:bCs/>
          <w:i/>
          <w:iCs/>
          <w:color w:val="17375E"/>
          <w:kern w:val="32"/>
          <w:lang w:val="uk-UA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B0320D" w:rsidRPr="00B0320D" w:rsidTr="00D76F4F">
        <w:tc>
          <w:tcPr>
            <w:tcW w:w="7393" w:type="dxa"/>
          </w:tcPr>
          <w:p w:rsidR="00B0320D" w:rsidRPr="00B0320D" w:rsidRDefault="00B0320D" w:rsidP="00B0320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B0320D">
              <w:rPr>
                <w:b/>
                <w:lang w:val="uk-UA"/>
              </w:rPr>
              <w:t>Сильні сторони</w:t>
            </w:r>
          </w:p>
        </w:tc>
        <w:tc>
          <w:tcPr>
            <w:tcW w:w="7599" w:type="dxa"/>
          </w:tcPr>
          <w:p w:rsidR="00B0320D" w:rsidRPr="00B0320D" w:rsidRDefault="00B0320D" w:rsidP="00B0320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B0320D">
              <w:rPr>
                <w:b/>
                <w:lang w:val="uk-UA"/>
              </w:rPr>
              <w:t>Слабкі сторони</w:t>
            </w:r>
          </w:p>
        </w:tc>
      </w:tr>
      <w:tr w:rsidR="00B0320D" w:rsidTr="00D76F4F">
        <w:tc>
          <w:tcPr>
            <w:tcW w:w="7393" w:type="dxa"/>
          </w:tcPr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</w:pPr>
            <w:r w:rsidRPr="00B0320D">
              <w:rPr>
                <w:rFonts w:eastAsia="+mn-ea" w:cs="Arial"/>
                <w:bCs/>
                <w:kern w:val="24"/>
                <w:lang w:val="uk-UA"/>
              </w:rPr>
              <w:t>Економіка громади диверсифікована за рахунок розвитку малого та середнього бізнесу (збільшується кількість підприємців, найманих працівників та питома вага в загальному обсязі  реалізованої продукції малого бізнесу);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</w:pPr>
            <w:r w:rsidRPr="00B0320D">
              <w:rPr>
                <w:rFonts w:eastAsia="+mn-ea" w:cs="Arial"/>
                <w:bCs/>
                <w:kern w:val="24"/>
                <w:lang w:val="uk-UA"/>
              </w:rPr>
              <w:t>Розвинена будівельна галузь, високі темпи житлового будівництва;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</w:pPr>
            <w:r w:rsidRPr="00B0320D">
              <w:rPr>
                <w:rFonts w:eastAsia="+mn-ea" w:cs="Arial"/>
                <w:bCs/>
                <w:kern w:val="24"/>
                <w:lang w:val="uk-UA"/>
              </w:rPr>
              <w:t>Наявність інфраструктури підтримки бізнесу;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</w:pPr>
            <w:r w:rsidRPr="00B0320D">
              <w:rPr>
                <w:rFonts w:eastAsia="+mn-ea" w:cs="Arial"/>
                <w:bCs/>
                <w:kern w:val="24"/>
                <w:lang w:val="uk-UA"/>
              </w:rPr>
              <w:t>Громада має ресурс «</w:t>
            </w:r>
            <w:proofErr w:type="spellStart"/>
            <w:r w:rsidRPr="00B0320D">
              <w:rPr>
                <w:rFonts w:eastAsia="+mn-ea" w:cs="Arial"/>
                <w:bCs/>
                <w:kern w:val="24"/>
                <w:lang w:val="uk-UA"/>
              </w:rPr>
              <w:t>браунфілдів</w:t>
            </w:r>
            <w:proofErr w:type="spellEnd"/>
            <w:r w:rsidRPr="00B0320D">
              <w:rPr>
                <w:rFonts w:eastAsia="+mn-ea" w:cs="Arial"/>
                <w:bCs/>
                <w:kern w:val="24"/>
                <w:lang w:val="uk-UA"/>
              </w:rPr>
              <w:t>»;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</w:pPr>
            <w:r w:rsidRPr="00B0320D">
              <w:rPr>
                <w:rFonts w:eastAsia="+mn-ea" w:cs="Arial"/>
                <w:bCs/>
                <w:kern w:val="24"/>
                <w:lang w:val="uk-UA"/>
              </w:rPr>
              <w:t>Місто Ірпінь приєднане до Угоди мерів, Європейської ініціативи «Мери за економічне зростання»;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</w:pPr>
            <w:r w:rsidRPr="00B0320D">
              <w:rPr>
                <w:rFonts w:eastAsia="+mn-ea" w:cs="Arial"/>
                <w:bCs/>
                <w:kern w:val="24"/>
                <w:lang w:val="uk-UA"/>
              </w:rPr>
              <w:t>Громада має потенціал молоді, молодих сімей, ВПО, безробітних;</w:t>
            </w:r>
          </w:p>
          <w:p w:rsidR="00B0320D" w:rsidRPr="00241748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</w:pPr>
            <w:r w:rsidRPr="00B0320D">
              <w:rPr>
                <w:rFonts w:eastAsia="+mn-ea" w:cs="Arial"/>
                <w:bCs/>
                <w:kern w:val="24"/>
                <w:lang w:val="uk-UA"/>
              </w:rPr>
              <w:t>Відбувається поступова диверсифікація ринків збуту підприємств громади до країн ЄС та інших країн світу;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B0320D">
              <w:rPr>
                <w:lang w:val="uk-UA"/>
              </w:rPr>
              <w:t xml:space="preserve">Місто Ірпінь приєднало великі площі земель сільськогосподарського призначення та кадрові ресурси; 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B0320D">
              <w:rPr>
                <w:lang w:val="uk-UA"/>
              </w:rPr>
              <w:t>Збільшення населення громади за рахунок позитивного сальдо міграції;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B0320D">
              <w:rPr>
                <w:lang w:val="uk-UA"/>
              </w:rPr>
              <w:t>Громада має людський та кадровий потенціал, в тому числі ВПО;</w:t>
            </w:r>
          </w:p>
          <w:p w:rsid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B0320D">
              <w:rPr>
                <w:lang w:val="uk-UA"/>
              </w:rPr>
              <w:t>Наявність розвиненої мережі закладів освіти: Національний Університет ДПС України; заклади професійної (професійно-технічної) освіти, "</w:t>
            </w:r>
            <w:proofErr w:type="spellStart"/>
            <w:r w:rsidRPr="00B0320D">
              <w:rPr>
                <w:lang w:val="uk-UA"/>
              </w:rPr>
              <w:t>Ірпінський</w:t>
            </w:r>
            <w:proofErr w:type="spellEnd"/>
            <w:r w:rsidRPr="00B0320D">
              <w:rPr>
                <w:lang w:val="uk-UA"/>
              </w:rPr>
              <w:t xml:space="preserve"> ліцей інноваційних технологій" (Мала академія наук), заклади загальної освіти з поглибленим вивченням економіки та права;</w:t>
            </w:r>
          </w:p>
          <w:p w:rsidR="00B0320D" w:rsidRP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B0320D">
              <w:rPr>
                <w:lang w:val="uk-UA"/>
              </w:rPr>
              <w:t xml:space="preserve">Співпраця з Університетом </w:t>
            </w:r>
            <w:r w:rsidR="00B77F97">
              <w:rPr>
                <w:lang w:val="uk-UA"/>
              </w:rPr>
              <w:t>ДФС</w:t>
            </w:r>
            <w:r w:rsidRPr="00B0320D">
              <w:rPr>
                <w:lang w:val="uk-UA"/>
              </w:rPr>
              <w:t xml:space="preserve"> України</w:t>
            </w:r>
            <w:r w:rsidR="00B77F97">
              <w:rPr>
                <w:lang w:val="uk-UA"/>
              </w:rPr>
              <w:t xml:space="preserve"> з метою</w:t>
            </w:r>
            <w:r w:rsidRPr="00B0320D">
              <w:rPr>
                <w:lang w:val="uk-UA"/>
              </w:rPr>
              <w:t xml:space="preserve"> створення платформи для пошуку інвесторів для реалізації </w:t>
            </w:r>
            <w:proofErr w:type="spellStart"/>
            <w:r w:rsidRPr="00B0320D">
              <w:rPr>
                <w:lang w:val="uk-UA"/>
              </w:rPr>
              <w:t>стартапів</w:t>
            </w:r>
            <w:proofErr w:type="spellEnd"/>
            <w:r w:rsidRPr="00B0320D">
              <w:rPr>
                <w:lang w:val="uk-UA"/>
              </w:rPr>
              <w:t>;</w:t>
            </w:r>
          </w:p>
          <w:p w:rsidR="00B0320D" w:rsidRDefault="00B0320D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B0320D">
              <w:rPr>
                <w:lang w:val="uk-UA"/>
              </w:rPr>
              <w:t>Близькість Києва - центру наукових та науково-дослідних організацій</w:t>
            </w:r>
            <w:r w:rsidR="00D76F4F">
              <w:rPr>
                <w:lang w:val="uk-UA"/>
              </w:rPr>
              <w:t>;</w:t>
            </w:r>
          </w:p>
          <w:p w:rsidR="00D76F4F" w:rsidRPr="00B0320D" w:rsidRDefault="00D76F4F" w:rsidP="00B0320D">
            <w:pPr>
              <w:pStyle w:val="a5"/>
              <w:numPr>
                <w:ilvl w:val="0"/>
                <w:numId w:val="1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У</w:t>
            </w:r>
            <w:r w:rsidRPr="00D76F4F">
              <w:rPr>
                <w:lang w:val="uk-UA"/>
              </w:rPr>
              <w:t>кладено договір з Міністерством</w:t>
            </w:r>
            <w:r w:rsidR="00B77F97">
              <w:rPr>
                <w:lang w:val="uk-UA"/>
              </w:rPr>
              <w:t xml:space="preserve"> цифрової трансформації України,</w:t>
            </w:r>
            <w:r w:rsidRPr="00D76F4F">
              <w:rPr>
                <w:lang w:val="uk-UA"/>
              </w:rPr>
              <w:t xml:space="preserve"> </w:t>
            </w:r>
            <w:r w:rsidR="00B77F97">
              <w:rPr>
                <w:lang w:val="uk-UA"/>
              </w:rPr>
              <w:t>в</w:t>
            </w:r>
            <w:r w:rsidRPr="00D76F4F">
              <w:rPr>
                <w:lang w:val="uk-UA"/>
              </w:rPr>
              <w:t>провадж</w:t>
            </w:r>
            <w:r w:rsidR="00B77F97">
              <w:rPr>
                <w:lang w:val="uk-UA"/>
              </w:rPr>
              <w:t>ення</w:t>
            </w:r>
            <w:r w:rsidRPr="00D76F4F">
              <w:rPr>
                <w:lang w:val="uk-UA"/>
              </w:rPr>
              <w:t xml:space="preserve"> інструмент</w:t>
            </w:r>
            <w:r w:rsidR="00B77F97">
              <w:rPr>
                <w:lang w:val="uk-UA"/>
              </w:rPr>
              <w:t>ів</w:t>
            </w:r>
            <w:r w:rsidRPr="00D76F4F">
              <w:rPr>
                <w:lang w:val="uk-UA"/>
              </w:rPr>
              <w:t xml:space="preserve"> в рамках програми «Дія. Цифрова громада»</w:t>
            </w:r>
          </w:p>
          <w:p w:rsidR="00B0320D" w:rsidRPr="00B0320D" w:rsidRDefault="00B0320D" w:rsidP="00B0320D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599" w:type="dxa"/>
          </w:tcPr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lastRenderedPageBreak/>
              <w:t>Різке падіння промислового виробництва, погіршення фінансових результатів діяльності підприємств;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Низький рівень експортної орієнтації підприємств;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Відсутній реєстр вільних земельних ділянок на території громади;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Низький рівень обсягу прямих інвестицій в крупний приватний сектор громади;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Низький рівень інновацій в економіці громади;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Недостатній рівень надання послуг для бізнесу;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Відсутня якісна інфраструктура підтримки бізнесу: бізнес-інкубатора, бізнес-центра,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проєктного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Офісу, індустріального парку, системи підтримки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стартапів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тощо;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Низький рівень створення сільськогосподарських кооперативів;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Відсутній ефективний маркетинг території громади та її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брендінг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Дефіцит кваліфікованих кадрів;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Більша частина працездатного населення працює в столиці; 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Сальдо зовнішньої торгівлі громади негативне, імпорт переважає над експортом;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Розрізненість, неактуальність і невпорядкованість інформації про послідовність дій для започаткування підприємницької діяльності;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Відсутність консалтингової підтримки щодо зовнішньоекономічної діяльності, сертифікації продукції та виходу на ринку ЄС та світу;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Зношена комунальна інфраструктура, інженерні мережі, особливо, в сільській місцевості;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Відсутня Схема планування території ОТГ;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У громаді відсутнє просторове планування у форматі SMART (ГІС);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Генеральні плани населених пунктів потребують актуалізації;</w:t>
            </w:r>
          </w:p>
          <w:p w:rsidR="00B0320D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Не в повному обсязі проведена нормативно-грошова оцінка земель;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lastRenderedPageBreak/>
              <w:t xml:space="preserve">Відсутня мапа інженерних комунікацій громади, схеми тепло-, водопостачання потребують актуалізації; 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Відсутня інноваційна мережа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партнерств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за участі МІСЬКОЇ РАДИ, ОДА, ЗВО та науково-дослідних організацій з метою генерації та впровадження інновацій;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Відсутність горизонтальних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зв’язків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– співпраця бізнес-асоціацій, неурядових організацій, науковців, дослідників для обміну знаннями, технологіями та найкращими практиками;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Наявність «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браунфілдів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», які потребують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ревіталізації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на нових технологічних основах;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</w:t>
            </w:r>
            <w:r>
              <w:rPr>
                <w:rFonts w:eastAsia="+mn-ea" w:cs="Arial"/>
                <w:bCs/>
                <w:color w:val="10253F"/>
                <w:kern w:val="24"/>
                <w:lang w:val="uk-UA"/>
              </w:rPr>
              <w:t>едостатній</w:t>
            </w: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рівень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цифровізації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громади та надання Е-послуг, особливо в сільській місцевості;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5"/>
              </w:numPr>
              <w:tabs>
                <w:tab w:val="clear" w:pos="720"/>
              </w:tabs>
              <w:kinsoku w:val="0"/>
              <w:overflowPunct w:val="0"/>
              <w:ind w:left="262" w:hanging="262"/>
              <w:textAlignment w:val="baseline"/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Необхідність впровадження енергоефективних технологій в економіку та соціальну сферу громади.</w:t>
            </w:r>
          </w:p>
        </w:tc>
      </w:tr>
    </w:tbl>
    <w:p w:rsidR="00B0320D" w:rsidRDefault="00B0320D" w:rsidP="00B0320D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B7328" w:rsidRDefault="001B7328" w:rsidP="00B0320D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 w:cs="Arial"/>
          <w:b/>
          <w:bCs/>
          <w:i/>
          <w:iCs/>
          <w:color w:val="254061"/>
          <w:kern w:val="32"/>
          <w:lang w:val="uk-UA"/>
        </w:rPr>
      </w:pPr>
      <w:r w:rsidRPr="001B7328">
        <w:rPr>
          <w:rFonts w:eastAsia="Calibri" w:cs="Arial"/>
          <w:b/>
          <w:bCs/>
          <w:color w:val="C00000"/>
          <w:kern w:val="32"/>
          <w:lang w:val="uk-UA"/>
        </w:rPr>
        <w:t xml:space="preserve">СТРАТЕГІЧНИЙ НАПРЯМ В.  </w:t>
      </w:r>
      <w:r w:rsidRPr="001C0302">
        <w:rPr>
          <w:rFonts w:eastAsia="Calibri" w:cs="Arial"/>
          <w:b/>
          <w:bCs/>
          <w:i/>
          <w:iCs/>
          <w:color w:val="254061"/>
          <w:kern w:val="32"/>
          <w:sz w:val="28"/>
          <w:szCs w:val="28"/>
          <w:lang w:val="uk-UA"/>
        </w:rPr>
        <w:t>Комфортна, дружня до довкілля та  безпечна для життя та розвитку громада</w:t>
      </w:r>
    </w:p>
    <w:p w:rsidR="001B7328" w:rsidRPr="001B7328" w:rsidRDefault="001B7328" w:rsidP="00B0320D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90"/>
        <w:gridCol w:w="7270"/>
      </w:tblGrid>
      <w:tr w:rsidR="001B7328" w:rsidTr="001B7328">
        <w:tc>
          <w:tcPr>
            <w:tcW w:w="7393" w:type="dxa"/>
          </w:tcPr>
          <w:p w:rsidR="001B7328" w:rsidRDefault="001B7328" w:rsidP="001B732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Сильні сторони</w:t>
            </w:r>
            <w:r w:rsidRPr="001B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7393" w:type="dxa"/>
          </w:tcPr>
          <w:p w:rsidR="001B7328" w:rsidRDefault="001B7328" w:rsidP="00B032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1B7328" w:rsidTr="001B7328">
        <w:tc>
          <w:tcPr>
            <w:tcW w:w="7393" w:type="dxa"/>
          </w:tcPr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>В громаді налічується 109 підземних свердловин для водозабору;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>Місто приєдналося до Угоди мерів, розроблено та затверджено План дій сталого енергетичного розвитку;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 xml:space="preserve">Впровадження системи </w:t>
            </w:r>
            <w:proofErr w:type="spellStart"/>
            <w:r w:rsidRPr="001B7328">
              <w:rPr>
                <w:lang w:val="uk-UA"/>
              </w:rPr>
              <w:t>енергомоніторингу</w:t>
            </w:r>
            <w:proofErr w:type="spellEnd"/>
            <w:r w:rsidRPr="001B7328">
              <w:rPr>
                <w:lang w:val="uk-UA"/>
              </w:rPr>
              <w:t xml:space="preserve"> «Енергобаланс»;</w:t>
            </w:r>
          </w:p>
          <w:p w:rsid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>Створено 27 ОСББ;</w:t>
            </w:r>
          </w:p>
          <w:p w:rsidR="00392403" w:rsidRDefault="00392403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Наявність </w:t>
            </w:r>
            <w:r w:rsidRPr="00392403">
              <w:rPr>
                <w:lang w:val="uk-UA"/>
              </w:rPr>
              <w:t>Програми підтримки об’єднань співвласників багатоквартирних будинків та житлово–будівельних кооперативів у місті Ірпінь на 2019-2021 роки</w:t>
            </w:r>
            <w:r>
              <w:rPr>
                <w:lang w:val="uk-UA"/>
              </w:rPr>
              <w:t>;</w:t>
            </w:r>
          </w:p>
          <w:p w:rsidR="00392403" w:rsidRPr="001B7328" w:rsidRDefault="00392403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92403">
              <w:rPr>
                <w:lang w:val="uk-UA"/>
              </w:rPr>
              <w:t>атверд</w:t>
            </w:r>
            <w:r>
              <w:rPr>
                <w:lang w:val="uk-UA"/>
              </w:rPr>
              <w:t>жено</w:t>
            </w:r>
            <w:r w:rsidRPr="00392403">
              <w:rPr>
                <w:lang w:val="uk-UA"/>
              </w:rPr>
              <w:t> Положення про «Револьверний фонд» для допомоги об’єднанням співвласників багатоквартирних будинків</w:t>
            </w:r>
            <w:r>
              <w:rPr>
                <w:lang w:val="uk-UA"/>
              </w:rPr>
              <w:t>;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 xml:space="preserve">Гарне транспортне сполучення </w:t>
            </w:r>
            <w:proofErr w:type="spellStart"/>
            <w:r w:rsidRPr="001B7328">
              <w:rPr>
                <w:lang w:val="uk-UA"/>
              </w:rPr>
              <w:t>старостинських</w:t>
            </w:r>
            <w:proofErr w:type="spellEnd"/>
            <w:r w:rsidRPr="001B7328">
              <w:rPr>
                <w:lang w:val="uk-UA"/>
              </w:rPr>
              <w:t xml:space="preserve"> округів із центром громади;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>Місто Ірпінь має розвинену транспортну мережу, яка включає автомобільний та залізничній транспорт;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>Проведена реконструкція 50% систем зовнішнього освітлення із використанням енергоефективних ламп;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lastRenderedPageBreak/>
              <w:t>100% водозабезпечення громади питною водою;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 xml:space="preserve">Компенсація забруднення атмосферного повітря через лісові масиви; 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 xml:space="preserve">Системний лабораторний контроль за якістю атмосферного повітря станцією спостережень за забрудненням навколишнього середовища; 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 xml:space="preserve">Тенденція зменшення викидів СО2 в атмосферне повітря; 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 xml:space="preserve">Проведення екологічних акцій серед населення громади, очищення від стихійних звалищ, очищення берегів водойм; </w:t>
            </w:r>
          </w:p>
          <w:p w:rsidR="001B7328" w:rsidRPr="001B7328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1B7328">
              <w:rPr>
                <w:lang w:val="uk-UA"/>
              </w:rPr>
              <w:t xml:space="preserve">Проводяться стратегічні екологічні оцінки стратегічних, програмних документів та </w:t>
            </w:r>
            <w:proofErr w:type="spellStart"/>
            <w:r w:rsidRPr="001B7328">
              <w:rPr>
                <w:lang w:val="uk-UA"/>
              </w:rPr>
              <w:t>проєктів</w:t>
            </w:r>
            <w:proofErr w:type="spellEnd"/>
            <w:r w:rsidRPr="001B7328">
              <w:rPr>
                <w:lang w:val="uk-UA"/>
              </w:rPr>
              <w:t xml:space="preserve"> місцевого економічного розвитку; </w:t>
            </w:r>
          </w:p>
          <w:p w:rsidR="001B7328" w:rsidRPr="00392403" w:rsidRDefault="001B7328" w:rsidP="00392403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b/>
                <w:lang w:val="uk-UA"/>
              </w:rPr>
            </w:pPr>
            <w:r w:rsidRPr="00392403">
              <w:rPr>
                <w:lang w:val="uk-UA"/>
              </w:rPr>
              <w:t xml:space="preserve">Громадські організації громади впроваджують </w:t>
            </w:r>
            <w:proofErr w:type="spellStart"/>
            <w:r w:rsidRPr="00392403">
              <w:rPr>
                <w:lang w:val="uk-UA"/>
              </w:rPr>
              <w:t>проєкти</w:t>
            </w:r>
            <w:proofErr w:type="spellEnd"/>
            <w:r w:rsidRPr="00392403">
              <w:rPr>
                <w:lang w:val="uk-UA"/>
              </w:rPr>
              <w:t xml:space="preserve"> екологічної тематики за рахунок коштів міжнародних донорських організацій: тренінги для населення, екологічні акції, організація зон рекреації та відпочинку, озеленення міста</w:t>
            </w:r>
            <w:r w:rsidR="00392403">
              <w:rPr>
                <w:lang w:val="uk-UA"/>
              </w:rPr>
              <w:t>.</w:t>
            </w:r>
          </w:p>
        </w:tc>
        <w:tc>
          <w:tcPr>
            <w:tcW w:w="7393" w:type="dxa"/>
          </w:tcPr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lastRenderedPageBreak/>
              <w:t>Зношена комунальна інфраструктура, інженерні мережі, особливо, в сільській місцевості;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У зношеному та аварійному стані знаходиться до 40 відсотків водопровідних мереж;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Значна кількість енергоємного обладнання відпрацювала нормативні терміни експлуатації і потребує заміни;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Втрати питної води під час її транспортування та розподілу в середньому досягають 24 відсотків;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Деякі населені пункти громади забезпечуються водою, яка за окремими якісними показниками не відповідає вимогам державних стандартів;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Низький рівень знань населення з питань управління житловим фондом, енергоефективністю;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Поганий стан доріг в сільській місцевості;</w:t>
            </w:r>
          </w:p>
          <w:p w:rsidR="001B7328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b/>
                <w:lang w:val="uk-UA"/>
              </w:rPr>
            </w:pPr>
            <w:r w:rsidRPr="0059503B">
              <w:rPr>
                <w:lang w:val="uk-UA"/>
              </w:rPr>
              <w:lastRenderedPageBreak/>
              <w:t>Недостатньо розвинута система поводження з ТПВ, роздільний збір ТПВ та системи їх вторинної переробки, особливо в сільській місцевості;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Наявність стихійних сміттєзвалищ, особливо в сільській місцевості;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 xml:space="preserve">Недостатній рівень впровадження енергоефективних </w:t>
            </w:r>
            <w:proofErr w:type="spellStart"/>
            <w:r w:rsidRPr="0059503B">
              <w:rPr>
                <w:lang w:val="uk-UA"/>
              </w:rPr>
              <w:t>проєктів</w:t>
            </w:r>
            <w:proofErr w:type="spellEnd"/>
            <w:r w:rsidRPr="0059503B">
              <w:rPr>
                <w:lang w:val="uk-UA"/>
              </w:rPr>
              <w:t xml:space="preserve"> в громаді;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Мережі зовнішнього освітлення потребують подальшої реконструкції та модернізації, особливо в сільській місцевості;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Не працює Ресурсний Центр з питань ОСББ;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Слабкий рівень співпраці населення та ОСББ із державною програмою ЕНЕРГОДІМ;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 xml:space="preserve">Слабкий рівень залучення громадськості до </w:t>
            </w:r>
            <w:proofErr w:type="spellStart"/>
            <w:r w:rsidRPr="0059503B">
              <w:rPr>
                <w:lang w:val="uk-UA"/>
              </w:rPr>
              <w:t>проєктів</w:t>
            </w:r>
            <w:proofErr w:type="spellEnd"/>
            <w:r w:rsidRPr="0059503B">
              <w:rPr>
                <w:lang w:val="uk-UA"/>
              </w:rPr>
              <w:t xml:space="preserve"> із благоустрою, ремонтів житлового фонду, інформаційно-роз’яснювальної роботи;</w:t>
            </w:r>
          </w:p>
          <w:p w:rsidR="000450FA" w:rsidRDefault="0059503B" w:rsidP="00E3573E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0450FA">
              <w:rPr>
                <w:lang w:val="uk-UA"/>
              </w:rPr>
              <w:t>Недостатня матеріально-технічна база комунальних підприємств</w:t>
            </w:r>
          </w:p>
          <w:p w:rsidR="0059503B" w:rsidRPr="000450FA" w:rsidRDefault="0059503B" w:rsidP="00E3573E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0450FA">
              <w:rPr>
                <w:lang w:val="uk-UA"/>
              </w:rPr>
              <w:t xml:space="preserve">Відсутній достатній рівень знань населення з питань екології; 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Забруднення річок громади промисловими та каналізаційними викидами;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 xml:space="preserve">Необхідно проведення заходів з відновлення екосистеми озер: збільшення водності, запобігання розмноження водоростей, цвітіння води, зариблення, створення організованих та обладнаних місць відпочинку населення, висадку дерев на берегах водойм; 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b/>
              </w:rPr>
            </w:pPr>
            <w:r w:rsidRPr="0059503B">
              <w:rPr>
                <w:lang w:val="uk-UA"/>
              </w:rPr>
              <w:t>В пробах питної води централізованого господарсько-питного водопостачання за мікробіологічними показниками виявлені відхилення від нормативів Державних санітарних правил і норм.</w:t>
            </w:r>
          </w:p>
        </w:tc>
      </w:tr>
    </w:tbl>
    <w:p w:rsidR="00B0320D" w:rsidRDefault="00B0320D" w:rsidP="00B0320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403" w:rsidRPr="001C0302" w:rsidRDefault="00392403" w:rsidP="00392403">
      <w:pPr>
        <w:ind w:firstLine="0"/>
        <w:rPr>
          <w:rFonts w:ascii="Times New Roman" w:eastAsia="Calibri" w:hAnsi="Times New Roman" w:cs="Times New Roman"/>
          <w:b/>
          <w:bCs/>
          <w:i/>
          <w:iCs/>
          <w:color w:val="254061"/>
          <w:kern w:val="32"/>
          <w:sz w:val="28"/>
          <w:szCs w:val="28"/>
          <w:lang w:val="uk-UA"/>
        </w:rPr>
      </w:pPr>
      <w:r w:rsidRPr="00392403">
        <w:rPr>
          <w:rFonts w:ascii="Times New Roman" w:eastAsia="Calibri" w:hAnsi="Times New Roman" w:cs="Times New Roman"/>
          <w:b/>
          <w:bCs/>
          <w:color w:val="C00000"/>
          <w:kern w:val="32"/>
          <w:sz w:val="24"/>
          <w:szCs w:val="24"/>
          <w:lang w:val="uk-UA"/>
        </w:rPr>
        <w:t xml:space="preserve">СТРАТЕГІЧНИЙ НАПРЯМ С. </w:t>
      </w:r>
      <w:r w:rsidRPr="001C0302">
        <w:rPr>
          <w:rFonts w:ascii="Times New Roman" w:eastAsia="Calibri" w:hAnsi="Times New Roman" w:cs="Times New Roman"/>
          <w:b/>
          <w:bCs/>
          <w:i/>
          <w:iCs/>
          <w:color w:val="254061"/>
          <w:kern w:val="32"/>
          <w:sz w:val="28"/>
          <w:szCs w:val="28"/>
          <w:lang w:val="uk-UA"/>
        </w:rPr>
        <w:t>Громада гідності та ефективного врядування орієнтована на людський розвиток, оздоровлення, туризм та якісне дозвілля</w:t>
      </w:r>
    </w:p>
    <w:p w:rsidR="00392403" w:rsidRDefault="00392403" w:rsidP="00392403">
      <w:pPr>
        <w:ind w:firstLine="0"/>
        <w:rPr>
          <w:rFonts w:ascii="Times New Roman" w:eastAsia="Calibri" w:hAnsi="Times New Roman" w:cs="Times New Roman"/>
          <w:bCs/>
          <w:iCs/>
          <w:color w:val="254061"/>
          <w:kern w:val="32"/>
          <w:sz w:val="24"/>
          <w:szCs w:val="24"/>
          <w:lang w:val="uk-UA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7393"/>
        <w:gridCol w:w="7457"/>
      </w:tblGrid>
      <w:tr w:rsidR="00392403" w:rsidTr="00241748">
        <w:tc>
          <w:tcPr>
            <w:tcW w:w="7393" w:type="dxa"/>
          </w:tcPr>
          <w:p w:rsidR="00392403" w:rsidRDefault="00392403" w:rsidP="00392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7457" w:type="dxa"/>
          </w:tcPr>
          <w:p w:rsidR="00392403" w:rsidRDefault="00392403" w:rsidP="00392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392403" w:rsidTr="00241748">
        <w:tc>
          <w:tcPr>
            <w:tcW w:w="7393" w:type="dxa"/>
          </w:tcPr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У громаді здійснюють діяльність біля 12 громадських організацій;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Збільшення населення громади за рахунок міграційних процесів;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lastRenderedPageBreak/>
              <w:t xml:space="preserve"> Декілька років поспіль впроваджується міська цільова програма «Громадський бюджет»;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 xml:space="preserve"> Громада має людський потенціал, в тому числі ВПО;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 xml:space="preserve"> Функціонує сучасний ЦНАП із використанням ІКТ (69 послуг, електронна черга, автоматизація послуг реєстрації громадян, мобільний кейс, є наявність мобільного </w:t>
            </w:r>
            <w:proofErr w:type="spellStart"/>
            <w:r w:rsidRPr="00241748">
              <w:rPr>
                <w:lang w:val="uk-UA"/>
              </w:rPr>
              <w:t>ЦНАПу</w:t>
            </w:r>
            <w:proofErr w:type="spellEnd"/>
            <w:r w:rsidRPr="00241748">
              <w:rPr>
                <w:lang w:val="uk-UA"/>
              </w:rPr>
              <w:t>);</w:t>
            </w:r>
          </w:p>
          <w:p w:rsid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В громаді працюють ЗМІ: телебачення, радіомовлення, друковані та електронні видання;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Наявність </w:t>
            </w:r>
            <w:r w:rsidRPr="00241748">
              <w:rPr>
                <w:lang w:val="uk-UA"/>
              </w:rPr>
              <w:t>Центр</w:t>
            </w:r>
            <w:r>
              <w:rPr>
                <w:lang w:val="uk-UA"/>
              </w:rPr>
              <w:t>у</w:t>
            </w:r>
            <w:r w:rsidRPr="00241748">
              <w:rPr>
                <w:lang w:val="uk-UA"/>
              </w:rPr>
              <w:t xml:space="preserve"> протидії насильству Київського обласного центру соціально-психологічної допомоги;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Ірпінь приєднався до Європейської Хартії рівності жінок і чоловіків у житті місцевих громад</w:t>
            </w:r>
            <w:r>
              <w:rPr>
                <w:lang w:val="uk-UA"/>
              </w:rPr>
              <w:t>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Активне культурне, творче, публічне життя громади на базі громадських, культурних, спортивних просторів та освітніх платформ за підтримки міжнародних донорських організацій;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Розвинута сфера освіти, культури, спорту та соціального захисту у громаді.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Високо кваліфікований і професійний науково-педагогічний потенціал;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 xml:space="preserve">Наявність </w:t>
            </w:r>
            <w:proofErr w:type="spellStart"/>
            <w:r w:rsidRPr="00241748">
              <w:rPr>
                <w:lang w:val="uk-UA"/>
              </w:rPr>
              <w:t>інклюзи</w:t>
            </w:r>
            <w:bookmarkStart w:id="0" w:name="_GoBack"/>
            <w:bookmarkEnd w:id="0"/>
            <w:r w:rsidRPr="00241748">
              <w:rPr>
                <w:lang w:val="uk-UA"/>
              </w:rPr>
              <w:t>вно</w:t>
            </w:r>
            <w:proofErr w:type="spellEnd"/>
            <w:r w:rsidRPr="00241748">
              <w:rPr>
                <w:lang w:val="uk-UA"/>
              </w:rPr>
              <w:t xml:space="preserve">-ресурсного центру; 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Наявність закладів професійної (професійно-технічної) освіти;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Система вищої освіти представлена Національним Університетом ДПС України;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Створення КНП ЦПМСД, наявність кваліфікованого персоналу для надання ПМД;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 xml:space="preserve">Наявність будинків культури, бібліотек, сільських клубів, музею, школа </w:t>
            </w:r>
            <w:r w:rsidR="000450FA">
              <w:rPr>
                <w:lang w:val="uk-UA"/>
              </w:rPr>
              <w:t>ін</w:t>
            </w:r>
            <w:r w:rsidRPr="00241748">
              <w:rPr>
                <w:lang w:val="uk-UA"/>
              </w:rPr>
              <w:t>клюзивного виховання;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Наявність спортивних споруд;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Наявність 5-ти будинків сімейного типу;</w:t>
            </w:r>
          </w:p>
          <w:p w:rsidR="00241748" w:rsidRPr="00241748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241748">
              <w:rPr>
                <w:lang w:val="uk-UA"/>
              </w:rPr>
              <w:t>Збільшення доходів бюджету на одного мешканця міста за рахунок всіх категорій податкових надходжень, по сільським територіям - за рахунок плати за землю та єдиного податку від с/г виробників;</w:t>
            </w:r>
          </w:p>
          <w:p w:rsidR="00392403" w:rsidRPr="000450FA" w:rsidRDefault="00241748" w:rsidP="00241748">
            <w:pPr>
              <w:pStyle w:val="a5"/>
              <w:numPr>
                <w:ilvl w:val="0"/>
                <w:numId w:val="3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b/>
                <w:lang w:val="uk-UA"/>
              </w:rPr>
            </w:pPr>
            <w:r w:rsidRPr="00241748">
              <w:rPr>
                <w:lang w:val="uk-UA"/>
              </w:rPr>
              <w:lastRenderedPageBreak/>
              <w:t>Розроблено концепцію та виділено землю під будівництво МИСТЕЦЬКОГО ЦЕНТРУ «IRPIN ART HOUSE», який передбачає створення центру творчості та мистецтва міжнародного рівня</w:t>
            </w:r>
          </w:p>
        </w:tc>
        <w:tc>
          <w:tcPr>
            <w:tcW w:w="7457" w:type="dxa"/>
          </w:tcPr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lastRenderedPageBreak/>
              <w:t>Збільшується кількість безробітних;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lastRenderedPageBreak/>
              <w:t>Відсутній прогноз сформованих спроможних освітніх, медичних, культурних, спортивних мереж з урахуванням приєднаних сільських територій;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Застаріла матеріально-технічна база соціальної сфери міста та сільських громад (школи, дитячі садочки, амбулаторії, будинки культури, клуби, бібліотеки тощо);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Перевантаженість закладів дошкільної освіти та велика черга на влаштування до ЗДО;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 xml:space="preserve">Перевантаженість закладів загальної середньої освіти </w:t>
            </w:r>
            <w:proofErr w:type="spellStart"/>
            <w:r w:rsidRPr="0059503B">
              <w:rPr>
                <w:lang w:val="uk-UA"/>
              </w:rPr>
              <w:t>Ірпінської</w:t>
            </w:r>
            <w:proofErr w:type="spellEnd"/>
            <w:r w:rsidRPr="0059503B">
              <w:rPr>
                <w:lang w:val="uk-UA"/>
              </w:rPr>
              <w:t xml:space="preserve"> міської територіальної громади, які розташовані в центрі;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Необхідність будівництва в місті Ірпені закладу позашкільної освіти з створенням сучасної матеріально-технічної бази;</w:t>
            </w:r>
          </w:p>
          <w:p w:rsidR="0059503B" w:rsidRP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9503B">
              <w:rPr>
                <w:lang w:val="uk-UA"/>
              </w:rPr>
              <w:t>Відсутній достатній рівень знань населення щодо реформ, загальнонаціональних тенденцій розвитку, фінансової та ІТ-грамотності, можливостей працевлаштування;</w:t>
            </w:r>
          </w:p>
          <w:p w:rsidR="00392403" w:rsidRPr="00526AED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b/>
                <w:lang w:val="uk-UA"/>
              </w:rPr>
            </w:pPr>
            <w:r>
              <w:rPr>
                <w:lang w:val="uk-UA"/>
              </w:rPr>
              <w:t>Недостатня кількість</w:t>
            </w:r>
            <w:r w:rsidRPr="0059503B">
              <w:rPr>
                <w:lang w:val="uk-UA"/>
              </w:rPr>
              <w:t xml:space="preserve"> сучасн</w:t>
            </w:r>
            <w:r>
              <w:rPr>
                <w:lang w:val="uk-UA"/>
              </w:rPr>
              <w:t>их</w:t>
            </w:r>
            <w:r w:rsidRPr="0059503B">
              <w:rPr>
                <w:lang w:val="uk-UA"/>
              </w:rPr>
              <w:t xml:space="preserve"> простор</w:t>
            </w:r>
            <w:r>
              <w:rPr>
                <w:lang w:val="uk-UA"/>
              </w:rPr>
              <w:t>ів</w:t>
            </w:r>
            <w:r w:rsidRPr="0059503B">
              <w:rPr>
                <w:lang w:val="uk-UA"/>
              </w:rPr>
              <w:t xml:space="preserve"> відпочинку, дозвілля та розваг, громадські центри розвитку та комунікації в сільській місцевості;</w:t>
            </w:r>
          </w:p>
          <w:p w:rsidR="0059503B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Недостатність сучасних спортивних, творчих, інтелектуальних просторів для розвитку як стимул привабливості громади для молоді, особливо в сільській місцевості;</w:t>
            </w:r>
          </w:p>
          <w:p w:rsidR="0059503B" w:rsidRPr="00526AED" w:rsidRDefault="0059503B" w:rsidP="0059503B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Відсутня сфера позашкільної освіти в сільській місцевості;</w:t>
            </w:r>
          </w:p>
          <w:p w:rsidR="0059503B" w:rsidRDefault="0059503B" w:rsidP="0059503B">
            <w:pPr>
              <w:pStyle w:val="a5"/>
              <w:kinsoku w:val="0"/>
              <w:overflowPunct w:val="0"/>
              <w:ind w:left="142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Слабкий рівень залучення молоді, ВПО, вразливих груп населення до активного суспільного життя громади, особливо в сільській місцевості;</w:t>
            </w:r>
          </w:p>
          <w:p w:rsidR="0059503B" w:rsidRDefault="0059503B" w:rsidP="00526AED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Недостатній рівень доступності інфраструктури соціальних, медичних, освітніх, культурних, адміністративних, правових послуг та доступу до цих послуг для людей вразливих груп в сільській місцевості;</w:t>
            </w:r>
          </w:p>
          <w:p w:rsidR="000450FA" w:rsidRDefault="0059503B" w:rsidP="009959B4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20"/>
              <w:textAlignment w:val="baseline"/>
              <w:rPr>
                <w:lang w:val="uk-UA"/>
              </w:rPr>
            </w:pPr>
            <w:r w:rsidRPr="000450FA">
              <w:rPr>
                <w:lang w:val="uk-UA"/>
              </w:rPr>
              <w:t>Н</w:t>
            </w:r>
            <w:r w:rsidR="00526AED" w:rsidRPr="000450FA">
              <w:rPr>
                <w:lang w:val="uk-UA"/>
              </w:rPr>
              <w:t>едостатній</w:t>
            </w:r>
            <w:r w:rsidRPr="000450FA">
              <w:rPr>
                <w:lang w:val="uk-UA"/>
              </w:rPr>
              <w:t xml:space="preserve"> рівень </w:t>
            </w:r>
            <w:proofErr w:type="spellStart"/>
            <w:r w:rsidRPr="000450FA">
              <w:rPr>
                <w:lang w:val="uk-UA"/>
              </w:rPr>
              <w:t>цифровізації</w:t>
            </w:r>
            <w:proofErr w:type="spellEnd"/>
            <w:r w:rsidRPr="000450FA">
              <w:rPr>
                <w:lang w:val="uk-UA"/>
              </w:rPr>
              <w:t xml:space="preserve"> сервісів та надання Е-послуг для населення, особливо в сільській місцевості;</w:t>
            </w:r>
          </w:p>
          <w:p w:rsidR="0059503B" w:rsidRPr="000450FA" w:rsidRDefault="0059503B" w:rsidP="009959B4">
            <w:pPr>
              <w:pStyle w:val="a5"/>
              <w:numPr>
                <w:ilvl w:val="0"/>
                <w:numId w:val="2"/>
              </w:numPr>
              <w:tabs>
                <w:tab w:val="clear" w:pos="720"/>
              </w:tabs>
              <w:kinsoku w:val="0"/>
              <w:overflowPunct w:val="0"/>
              <w:ind w:left="142" w:hanging="120"/>
              <w:textAlignment w:val="baseline"/>
              <w:rPr>
                <w:lang w:val="uk-UA"/>
              </w:rPr>
            </w:pPr>
            <w:r w:rsidRPr="000450FA">
              <w:rPr>
                <w:lang w:val="uk-UA"/>
              </w:rPr>
              <w:t>Дефіцит педагогічних, медичних, соціальних працівників та працівників в сфері культури, особливо в сільській місцевості;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 xml:space="preserve">Відсутність </w:t>
            </w:r>
            <w:proofErr w:type="spellStart"/>
            <w:r w:rsidRPr="00526AED">
              <w:rPr>
                <w:lang w:val="uk-UA"/>
              </w:rPr>
              <w:t>хоспісу</w:t>
            </w:r>
            <w:proofErr w:type="spellEnd"/>
            <w:r w:rsidRPr="00526AED">
              <w:rPr>
                <w:lang w:val="uk-UA"/>
              </w:rPr>
              <w:t>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lastRenderedPageBreak/>
              <w:t>Відсутність житла для ВПО;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Відсутність Центрів розвитку та підтримки дітей з цукровим діабетом;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Проблема створення робочих місць для працевлаштування осіб з інвалідністю, молодих людей, жінок, учасників АТО/ООС, інших категорій вразливих груп населення;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Необхідність застосування додаткових заходів протидії  Пандемії  COVID – 19;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 xml:space="preserve">Недостатня робота з дітьми щодо профілактики алкогольної, наркозалежності, </w:t>
            </w:r>
            <w:proofErr w:type="spellStart"/>
            <w:r w:rsidRPr="00526AED">
              <w:rPr>
                <w:lang w:val="uk-UA"/>
              </w:rPr>
              <w:t>булінгу</w:t>
            </w:r>
            <w:proofErr w:type="spellEnd"/>
            <w:r w:rsidRPr="00526AED">
              <w:rPr>
                <w:lang w:val="uk-UA"/>
              </w:rPr>
              <w:t>, інтернет-залежності, відсутність інформаційної підтримки;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Соціальні послуги надаються не в повному обсязі;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Необхідність проведення ремонтів об`єктів культурної спадщини (пам’ятників);</w:t>
            </w:r>
          </w:p>
          <w:p w:rsidR="00526AED" w:rsidRPr="001B7328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b/>
                <w:lang w:val="uk-UA"/>
              </w:rPr>
            </w:pPr>
            <w:r w:rsidRPr="00526AED">
              <w:rPr>
                <w:lang w:val="uk-UA"/>
              </w:rPr>
              <w:t>Недостатність естетичного виховання молоді.</w:t>
            </w:r>
          </w:p>
        </w:tc>
      </w:tr>
    </w:tbl>
    <w:p w:rsidR="00241748" w:rsidRDefault="00241748" w:rsidP="00392403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241748" w:rsidRPr="00241748" w:rsidTr="00241748">
        <w:tc>
          <w:tcPr>
            <w:tcW w:w="7393" w:type="dxa"/>
          </w:tcPr>
          <w:p w:rsidR="00241748" w:rsidRPr="00241748" w:rsidRDefault="00241748" w:rsidP="002417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7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МОЖЛИВОСТІ</w:t>
            </w:r>
          </w:p>
        </w:tc>
        <w:tc>
          <w:tcPr>
            <w:tcW w:w="7393" w:type="dxa"/>
          </w:tcPr>
          <w:p w:rsidR="00241748" w:rsidRPr="00241748" w:rsidRDefault="00241748" w:rsidP="002417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7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ЗАГРОЗИ</w:t>
            </w:r>
          </w:p>
        </w:tc>
      </w:tr>
      <w:tr w:rsidR="00D76F4F" w:rsidRPr="00241748" w:rsidTr="00241748">
        <w:tc>
          <w:tcPr>
            <w:tcW w:w="7393" w:type="dxa"/>
          </w:tcPr>
          <w:p w:rsidR="00D76F4F" w:rsidRP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jc w:val="both"/>
              <w:textAlignment w:val="baseline"/>
              <w:rPr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Продовження процесів інтеграції в Європейський Союз; 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jc w:val="both"/>
              <w:textAlignment w:val="baseline"/>
              <w:rPr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Продовження розпочатих реформ в Україні, особливо в сфері децентралізації, освіти, медицини, підтримки малого і середнього бізнесу, судової системи;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jc w:val="both"/>
              <w:textAlignment w:val="baseline"/>
              <w:rPr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Залучення додаткових фінансових ресурсів в громаду  з національних джерел (у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т.ч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. коштів Державного фонду регіонального розвитку, Державного фонду енергоефективності,  Програми підтримки секторальної політики тощо);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jc w:val="both"/>
              <w:textAlignment w:val="baseline"/>
              <w:rPr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Можливості співпраці з </w:t>
            </w:r>
            <w:proofErr w:type="spellStart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проєктами</w:t>
            </w:r>
            <w:proofErr w:type="spellEnd"/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міжнародної технічної допомоги, а також з програмами міжнародних фінансових організацій; 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jc w:val="both"/>
              <w:textAlignment w:val="baseline"/>
              <w:rPr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Диверсифікація ринків збуту продукції товаровиробників; 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jc w:val="both"/>
              <w:textAlignment w:val="baseline"/>
              <w:rPr>
                <w:lang w:val="uk-UA"/>
              </w:rPr>
            </w:pPr>
            <w:r w:rsidRPr="00D76F4F">
              <w:rPr>
                <w:rFonts w:eastAsia="+mn-ea" w:cs="Arial"/>
                <w:bCs/>
                <w:color w:val="10253F"/>
                <w:kern w:val="24"/>
                <w:lang w:val="uk-UA"/>
              </w:rPr>
              <w:t>Впровадження програм для розвитку інноваційного бізнесу;</w:t>
            </w:r>
          </w:p>
          <w:p w:rsidR="00D76F4F" w:rsidRPr="00526AED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Збільшення державного стимулювання використання альтернативних джерел енергії;</w:t>
            </w:r>
          </w:p>
          <w:p w:rsidR="00D76F4F" w:rsidRPr="00526AED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Ріст купівельної спроможності населення та загальне покращення рівня життя громадян;</w:t>
            </w:r>
          </w:p>
          <w:p w:rsidR="00D76F4F" w:rsidRPr="00526AED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kinsoku w:val="0"/>
              <w:overflowPunct w:val="0"/>
              <w:ind w:left="142" w:hanging="142"/>
              <w:textAlignment w:val="baseline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lastRenderedPageBreak/>
              <w:t>Покращення рівня екологічної безпеки;</w:t>
            </w:r>
          </w:p>
          <w:p w:rsidR="00D76F4F" w:rsidRPr="00526AED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Впровадження державної гендерної політики на всіх рівнях;</w:t>
            </w:r>
          </w:p>
          <w:p w:rsidR="00D76F4F" w:rsidRPr="00526AED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Підвищення доходів громадян;</w:t>
            </w:r>
          </w:p>
          <w:p w:rsidR="00D76F4F" w:rsidRPr="00526AED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Державні програми підтримки ВПО;</w:t>
            </w:r>
          </w:p>
          <w:p w:rsid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Впровадження мінімальних соціальних стандартів;</w:t>
            </w:r>
          </w:p>
          <w:p w:rsidR="00B77F97" w:rsidRPr="00B77F97" w:rsidRDefault="00B77F97" w:rsidP="00B77F97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rPr>
                <w:rFonts w:eastAsia="+mn-ea" w:cs="Arial"/>
                <w:bCs/>
                <w:color w:val="10253F"/>
                <w:kern w:val="24"/>
                <w:lang w:val="uk-UA"/>
              </w:rPr>
            </w:pPr>
            <w:r w:rsidRPr="00B77F97">
              <w:rPr>
                <w:rFonts w:eastAsia="+mn-ea" w:cs="Arial"/>
                <w:bCs/>
                <w:color w:val="10253F"/>
                <w:kern w:val="24"/>
                <w:lang w:val="uk-UA"/>
              </w:rPr>
              <w:t>Заплановано створення Молодіжного центру індустрій;</w:t>
            </w:r>
          </w:p>
          <w:p w:rsidR="00D76F4F" w:rsidRPr="00D76F4F" w:rsidRDefault="00D76F4F" w:rsidP="00D76F4F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142" w:hanging="142"/>
              <w:rPr>
                <w:b/>
              </w:rPr>
            </w:pPr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Впровадження  найкращих практик муніципального менеджменту в Україні (запровадження </w:t>
            </w:r>
            <w:proofErr w:type="spellStart"/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Smart</w:t>
            </w:r>
            <w:proofErr w:type="spellEnd"/>
            <w:r w:rsidRP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 xml:space="preserve"> рішень в управління громадою)</w:t>
            </w:r>
            <w:r w:rsidR="00526AED">
              <w:rPr>
                <w:rFonts w:eastAsia="+mn-ea" w:cs="Arial"/>
                <w:bCs/>
                <w:color w:val="10253F"/>
                <w:kern w:val="24"/>
                <w:lang w:val="uk-UA"/>
              </w:rPr>
              <w:t>.</w:t>
            </w:r>
          </w:p>
        </w:tc>
        <w:tc>
          <w:tcPr>
            <w:tcW w:w="7393" w:type="dxa"/>
          </w:tcPr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lastRenderedPageBreak/>
              <w:t>Ескалація бойових дій чи «заморожування» військового конфлікту на сході України;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Девальвація гривні;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Значні коливання національної валюти;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Загальне погіршення соціально-економічної ситуації в країні, кризові явища через карантинні обмеження під час ПАНДЕМІЇ COVID – 19;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Відсутність доступу до дешевих фінансових ресурсів;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Недостатній темп росту доходів населення;</w:t>
            </w:r>
          </w:p>
          <w:p w:rsidR="00D76F4F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 xml:space="preserve">Енергетична неефективність громади, відсутність реалізації </w:t>
            </w:r>
            <w:proofErr w:type="spellStart"/>
            <w:r w:rsidRPr="00526AED">
              <w:rPr>
                <w:lang w:val="uk-UA"/>
              </w:rPr>
              <w:t>проєктів</w:t>
            </w:r>
            <w:proofErr w:type="spellEnd"/>
            <w:r w:rsidRPr="00526AED">
              <w:rPr>
                <w:lang w:val="uk-UA"/>
              </w:rPr>
              <w:t xml:space="preserve"> декарбонізації, зеленої енергетики, енергоефективності  у співпраці із країнами Європи в рамках зеленого курсу Європи, до якого приєдналася Україна;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Необхідність відновлення інноваційних мереж та інтеграція їх в європейські мережі знань та технологій;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Незаконна вирубка лісів;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lastRenderedPageBreak/>
              <w:t>Наростання соціальної напруженості, відтік найбільш активного населення;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Поширення пандемії COVID - 19;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Відтік та від’ємна міграція працездатного населення, у тому числі молоді;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Недостатнє фінансування розвитку та навчання робочої сили;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Відсутність програми підтримки сільських територій;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Відсутність інноваційних технологій в сфері ЖКГ;</w:t>
            </w:r>
          </w:p>
          <w:p w:rsidR="00526AED" w:rsidRPr="00526AED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lang w:val="uk-UA"/>
              </w:rPr>
            </w:pPr>
            <w:r w:rsidRPr="00526AED">
              <w:rPr>
                <w:lang w:val="uk-UA"/>
              </w:rPr>
              <w:t>Техногенні катастрофи, пожежі;</w:t>
            </w:r>
          </w:p>
          <w:p w:rsidR="00526AED" w:rsidRPr="00241748" w:rsidRDefault="00526AED" w:rsidP="00526AED">
            <w:pPr>
              <w:pStyle w:val="a5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ind w:left="120" w:hanging="120"/>
              <w:textAlignment w:val="baseline"/>
              <w:rPr>
                <w:b/>
                <w:lang w:val="uk-UA"/>
              </w:rPr>
            </w:pPr>
            <w:r w:rsidRPr="00526AED">
              <w:rPr>
                <w:lang w:val="uk-UA"/>
              </w:rPr>
              <w:t xml:space="preserve">Слабкий рівень </w:t>
            </w:r>
            <w:proofErr w:type="spellStart"/>
            <w:r w:rsidRPr="00526AED">
              <w:rPr>
                <w:lang w:val="uk-UA"/>
              </w:rPr>
              <w:t>цифровізації</w:t>
            </w:r>
            <w:proofErr w:type="spellEnd"/>
            <w:r w:rsidRPr="00526AED">
              <w:rPr>
                <w:lang w:val="uk-UA"/>
              </w:rPr>
              <w:t xml:space="preserve"> громади</w:t>
            </w:r>
            <w:r>
              <w:rPr>
                <w:lang w:val="uk-UA"/>
              </w:rPr>
              <w:t>.</w:t>
            </w:r>
          </w:p>
        </w:tc>
      </w:tr>
    </w:tbl>
    <w:p w:rsidR="00241748" w:rsidRPr="00392403" w:rsidRDefault="00241748" w:rsidP="00392403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41748" w:rsidRPr="00392403" w:rsidSect="00B032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C2C"/>
    <w:multiLevelType w:val="hybridMultilevel"/>
    <w:tmpl w:val="D230159E"/>
    <w:lvl w:ilvl="0" w:tplc="CB58A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4B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48C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CA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8D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4A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9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34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A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322624"/>
    <w:multiLevelType w:val="hybridMultilevel"/>
    <w:tmpl w:val="F708AD88"/>
    <w:lvl w:ilvl="0" w:tplc="C1683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4E4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CC5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E01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EC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8F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A6D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E86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584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75387E"/>
    <w:multiLevelType w:val="hybridMultilevel"/>
    <w:tmpl w:val="EFBC8EBE"/>
    <w:lvl w:ilvl="0" w:tplc="B448B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FA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CC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44F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E54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42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5F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6E0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4C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A099A"/>
    <w:multiLevelType w:val="hybridMultilevel"/>
    <w:tmpl w:val="278ED086"/>
    <w:lvl w:ilvl="0" w:tplc="28F0E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2B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ED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6E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84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E1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D8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CCF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EFB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4A2343"/>
    <w:multiLevelType w:val="hybridMultilevel"/>
    <w:tmpl w:val="0E86927E"/>
    <w:lvl w:ilvl="0" w:tplc="57442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AD0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800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6AA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285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23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0D6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000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8C6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E33675"/>
    <w:multiLevelType w:val="hybridMultilevel"/>
    <w:tmpl w:val="BA18AA02"/>
    <w:lvl w:ilvl="0" w:tplc="9DECD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A4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E52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64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AD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64F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2F8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8B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E62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D74264"/>
    <w:multiLevelType w:val="hybridMultilevel"/>
    <w:tmpl w:val="68F88548"/>
    <w:lvl w:ilvl="0" w:tplc="8AB4C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0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2B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25E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4B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45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63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6C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C3100EF"/>
    <w:multiLevelType w:val="hybridMultilevel"/>
    <w:tmpl w:val="178A5B84"/>
    <w:lvl w:ilvl="0" w:tplc="749CD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A1F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C22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82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03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8E2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9C18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4B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C3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69667A"/>
    <w:multiLevelType w:val="hybridMultilevel"/>
    <w:tmpl w:val="2BCC9970"/>
    <w:lvl w:ilvl="0" w:tplc="C98A6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41E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2C0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C59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E9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AC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8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AF5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AF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0D"/>
    <w:rsid w:val="000450FA"/>
    <w:rsid w:val="001B7328"/>
    <w:rsid w:val="001C0302"/>
    <w:rsid w:val="00241748"/>
    <w:rsid w:val="00351EA9"/>
    <w:rsid w:val="00392403"/>
    <w:rsid w:val="003C5440"/>
    <w:rsid w:val="00526AED"/>
    <w:rsid w:val="00545F72"/>
    <w:rsid w:val="0059503B"/>
    <w:rsid w:val="008A2877"/>
    <w:rsid w:val="00B0320D"/>
    <w:rsid w:val="00B77F97"/>
    <w:rsid w:val="00D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F0F0"/>
  <w15:docId w15:val="{8428DC38-F57C-4713-AC3B-0C48A803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2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320D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9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77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3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62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69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02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17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22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4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7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26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34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39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84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43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2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12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6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8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5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4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9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0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8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5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34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27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11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26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89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9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7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07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57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4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88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13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38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29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15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00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3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70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48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32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72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824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6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30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90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575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WorkStation0100</cp:lastModifiedBy>
  <cp:revision>2</cp:revision>
  <dcterms:created xsi:type="dcterms:W3CDTF">2021-08-12T06:48:00Z</dcterms:created>
  <dcterms:modified xsi:type="dcterms:W3CDTF">2021-08-12T06:48:00Z</dcterms:modified>
</cp:coreProperties>
</file>