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24" w:rsidRPr="00556E24" w:rsidRDefault="00556E24" w:rsidP="00556E24">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556E24">
        <w:rPr>
          <w:rFonts w:ascii="Verdana" w:eastAsia="Times New Roman" w:hAnsi="Verdana" w:cs="Times New Roman"/>
          <w:color w:val="000000"/>
          <w:kern w:val="36"/>
          <w:sz w:val="36"/>
          <w:szCs w:val="36"/>
          <w:lang w:eastAsia="uk-UA"/>
        </w:rPr>
        <w:t>ІНФОРМАЦІЙНА КАРТКА " надання субсидії для відшкодування витрат на оплату житлово-комунальних послуг"</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5"/>
        <w:gridCol w:w="4860"/>
      </w:tblGrid>
      <w:tr w:rsidR="00556E24" w:rsidRPr="00556E24" w:rsidTr="00556E24">
        <w:tc>
          <w:tcPr>
            <w:tcW w:w="44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РОЗРОБНИК</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Начальник управління праці</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та соціального захисту населення</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______________Петро ЗБРОЖЕК</w:t>
            </w:r>
          </w:p>
        </w:tc>
        <w:tc>
          <w:tcPr>
            <w:tcW w:w="48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ЗАТВЕРДЖУЮ</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Ірпінський міський голова</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_______Олександр МАРКУШИН</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«_____» ___________20____</w:t>
            </w:r>
          </w:p>
        </w:tc>
      </w:tr>
    </w:tbl>
    <w:p w:rsidR="00556E24" w:rsidRPr="00556E24" w:rsidRDefault="00556E24" w:rsidP="00556E2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556E24">
        <w:rPr>
          <w:rFonts w:ascii="Verdana" w:eastAsia="Times New Roman" w:hAnsi="Verdana" w:cs="Times New Roman"/>
          <w:color w:val="001E2B"/>
          <w:sz w:val="21"/>
          <w:szCs w:val="21"/>
          <w:lang w:eastAsia="uk-UA"/>
        </w:rPr>
        <w:t> </w:t>
      </w:r>
    </w:p>
    <w:p w:rsidR="00556E24" w:rsidRPr="00556E24" w:rsidRDefault="00556E24" w:rsidP="00556E2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556E24">
        <w:rPr>
          <w:rFonts w:ascii="Verdana" w:eastAsia="Times New Roman" w:hAnsi="Verdana" w:cs="Times New Roman"/>
          <w:color w:val="001E2B"/>
          <w:sz w:val="21"/>
          <w:szCs w:val="21"/>
          <w:lang w:eastAsia="uk-UA"/>
        </w:rPr>
        <w:t> </w:t>
      </w:r>
    </w:p>
    <w:p w:rsidR="00556E24" w:rsidRPr="00556E24" w:rsidRDefault="00556E24" w:rsidP="00556E2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556E24">
        <w:rPr>
          <w:rFonts w:ascii="Verdana" w:eastAsia="Times New Roman" w:hAnsi="Verdana" w:cs="Times New Roman"/>
          <w:b/>
          <w:bCs/>
          <w:color w:val="001E2B"/>
          <w:sz w:val="21"/>
          <w:szCs w:val="21"/>
          <w:lang w:eastAsia="uk-UA"/>
        </w:rPr>
        <w:t> ІНФОРМАЦІЙНА КАРТКА</w:t>
      </w:r>
    </w:p>
    <w:p w:rsidR="00556E24" w:rsidRPr="00556E24" w:rsidRDefault="00556E24" w:rsidP="00556E2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556E24">
        <w:rPr>
          <w:rFonts w:ascii="Verdana" w:eastAsia="Times New Roman" w:hAnsi="Verdana" w:cs="Times New Roman"/>
          <w:b/>
          <w:bCs/>
          <w:color w:val="001E2B"/>
          <w:sz w:val="21"/>
          <w:szCs w:val="21"/>
          <w:lang w:eastAsia="uk-UA"/>
        </w:rPr>
        <w:t>  адміністративної послуги</w:t>
      </w:r>
      <w:r w:rsidRPr="00556E24">
        <w:rPr>
          <w:rFonts w:ascii="Verdana" w:eastAsia="Times New Roman" w:hAnsi="Verdana" w:cs="Times New Roman"/>
          <w:b/>
          <w:bCs/>
          <w:color w:val="001E2B"/>
          <w:sz w:val="21"/>
          <w:szCs w:val="21"/>
          <w:lang w:eastAsia="uk-UA"/>
        </w:rPr>
        <w:br/>
        <w:t>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556E24" w:rsidRPr="00556E24" w:rsidRDefault="00556E24" w:rsidP="00556E2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556E24">
        <w:rPr>
          <w:rFonts w:ascii="Verdana" w:eastAsia="Times New Roman" w:hAnsi="Verdana" w:cs="Times New Roman"/>
          <w:color w:val="001E2B"/>
          <w:sz w:val="21"/>
          <w:szCs w:val="21"/>
          <w:lang w:eastAsia="uk-UA"/>
        </w:rPr>
        <w:t>  </w:t>
      </w:r>
      <w:r w:rsidRPr="00556E24">
        <w:rPr>
          <w:rFonts w:ascii="Verdana" w:eastAsia="Times New Roman" w:hAnsi="Verdana" w:cs="Times New Roman"/>
          <w:b/>
          <w:bCs/>
          <w:color w:val="001E2B"/>
          <w:sz w:val="21"/>
          <w:szCs w:val="21"/>
          <w:lang w:eastAsia="uk-UA"/>
        </w:rPr>
        <w:t>Управління праці та соціального захисту населення Ірпінської міської ради</w:t>
      </w:r>
      <w:r w:rsidRPr="00556E24">
        <w:rPr>
          <w:rFonts w:ascii="Verdana" w:eastAsia="Times New Roman" w:hAnsi="Verdana" w:cs="Times New Roman"/>
          <w:color w:val="001E2B"/>
          <w:sz w:val="21"/>
          <w:szCs w:val="21"/>
          <w:lang w:eastAsia="uk-UA"/>
        </w:rPr>
        <w:t> _________________________________________________________________________</w:t>
      </w:r>
      <w:r w:rsidRPr="00556E24">
        <w:rPr>
          <w:rFonts w:ascii="Verdana" w:eastAsia="Times New Roman" w:hAnsi="Verdana" w:cs="Times New Roman"/>
          <w:color w:val="001E2B"/>
          <w:sz w:val="21"/>
          <w:szCs w:val="21"/>
          <w:lang w:eastAsia="uk-UA"/>
        </w:rPr>
        <w:br/>
        <w:t> (найменування суб'єкта надання адміністративної послуги та/або центру надання адміністративних послуг)</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0"/>
        <w:gridCol w:w="2055"/>
        <w:gridCol w:w="30"/>
        <w:gridCol w:w="3135"/>
      </w:tblGrid>
      <w:tr w:rsidR="00556E24" w:rsidRPr="00556E24" w:rsidTr="00556E2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b/>
                <w:bCs/>
                <w:sz w:val="24"/>
                <w:szCs w:val="24"/>
                <w:lang w:eastAsia="uk-UA"/>
              </w:rPr>
              <w:t>Інформація про суб'єкт надання адміністративної послуги та/або центр надання адміністративних послуг</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1</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Місцезнаходження</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Вул.Д.Попова, 26-Б, м.Ірпінь, Київська область. 08205</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2</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Інформація щодо режиму роботи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Понеділок-четвер – 08:00 – 17:00</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П’ятниця – 08:00 – 15:45</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Обідня перерва – 12:00 – 12:45</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Субота, неділя - вихідні</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3</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Телефон / факс, електронна адреса, офіційни  веб-сайт</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Телефони – 04597-63-502, 04597-62-785</w:t>
            </w:r>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Мобільний телефон – 050-583-82-76</w:t>
            </w:r>
          </w:p>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Електронна адреса – </w:t>
            </w:r>
            <w:hyperlink r:id="rId5" w:history="1">
              <w:r w:rsidRPr="00556E24">
                <w:rPr>
                  <w:rFonts w:ascii="Times New Roman" w:eastAsia="Times New Roman" w:hAnsi="Times New Roman" w:cs="Times New Roman"/>
                  <w:color w:val="425BA3"/>
                  <w:sz w:val="24"/>
                  <w:szCs w:val="24"/>
                  <w:u w:val="single"/>
                  <w:lang w:eastAsia="uk-UA"/>
                </w:rPr>
                <w:t>irpin-mupszn@ukr.net</w:t>
              </w:r>
            </w:hyperlink>
          </w:p>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Веб-сайт - </w:t>
            </w:r>
            <w:hyperlink r:id="rId6" w:history="1">
              <w:r w:rsidRPr="00556E24">
                <w:rPr>
                  <w:rFonts w:ascii="Times New Roman" w:eastAsia="Times New Roman" w:hAnsi="Times New Roman" w:cs="Times New Roman"/>
                  <w:color w:val="425BA3"/>
                  <w:sz w:val="24"/>
                  <w:szCs w:val="24"/>
                  <w:u w:val="single"/>
                  <w:lang w:eastAsia="uk-UA"/>
                </w:rPr>
                <w:t>https://imr.gov.ua/upravlinnya-pratsi-ta-sotsialnogo-zakhistu-naselennya</w:t>
              </w:r>
            </w:hyperlink>
          </w:p>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 </w:t>
            </w:r>
          </w:p>
        </w:tc>
      </w:tr>
      <w:tr w:rsidR="00556E24" w:rsidRPr="00556E24" w:rsidTr="00556E2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b/>
                <w:bCs/>
                <w:sz w:val="24"/>
                <w:szCs w:val="24"/>
                <w:lang w:eastAsia="uk-UA"/>
              </w:rPr>
              <w:t xml:space="preserve">Нормативні акти, якими регламентується надання </w:t>
            </w:r>
            <w:r w:rsidRPr="00556E24">
              <w:rPr>
                <w:rFonts w:ascii="Times New Roman" w:eastAsia="Times New Roman" w:hAnsi="Times New Roman" w:cs="Times New Roman"/>
                <w:b/>
                <w:bCs/>
                <w:sz w:val="24"/>
                <w:szCs w:val="24"/>
                <w:lang w:eastAsia="uk-UA"/>
              </w:rPr>
              <w:lastRenderedPageBreak/>
              <w:t>адміністративної послуги</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lastRenderedPageBreak/>
              <w:t>4</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Закони України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Закон України "Про житлово-комунальні послуги" від 09.11.2017 N 2189-VIII</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5</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Акти Кабінету Міністрів України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Положення про порядок призначення житлових субсидій, затверджене постановою Кабінету Міністрів України від 21.10.95 N 848 (зі змінами) (далі - Положення)</w:t>
            </w:r>
          </w:p>
        </w:tc>
      </w:tr>
      <w:tr w:rsidR="00556E24" w:rsidRPr="00556E24" w:rsidTr="00556E2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b/>
                <w:bCs/>
                <w:sz w:val="24"/>
                <w:szCs w:val="24"/>
                <w:lang w:eastAsia="uk-UA"/>
              </w:rPr>
              <w:t>Умови отримання адміністративної послуги</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6</w:t>
            </w:r>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Підстава для отримання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Звернення громадян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7</w:t>
            </w:r>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135"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Перелік необхідних документів</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r w:rsidRPr="00556E24">
              <w:rPr>
                <w:rFonts w:ascii="Times New Roman" w:eastAsia="Times New Roman" w:hAnsi="Times New Roman" w:cs="Times New Roman"/>
                <w:sz w:val="24"/>
                <w:szCs w:val="24"/>
                <w:lang w:eastAsia="uk-UA"/>
              </w:rPr>
              <w:t>Заява про призначення та надання житлової субсидії (далі - заява);</w:t>
            </w:r>
            <w:r w:rsidRPr="00556E24">
              <w:rPr>
                <w:rFonts w:ascii="Times New Roman" w:eastAsia="Times New Roman" w:hAnsi="Times New Roman" w:cs="Times New Roman"/>
                <w:sz w:val="24"/>
                <w:szCs w:val="24"/>
                <w:lang w:eastAsia="uk-UA"/>
              </w:rPr>
              <w:br/>
              <w:t> Декларація про доходи і витрати осіб, які звернулися за призначенням житлової субсидії (далі - декларація);</w:t>
            </w:r>
            <w:r w:rsidRPr="00556E24">
              <w:rPr>
                <w:rFonts w:ascii="Times New Roman" w:eastAsia="Times New Roman" w:hAnsi="Times New Roman" w:cs="Times New Roman"/>
                <w:sz w:val="24"/>
                <w:szCs w:val="24"/>
                <w:lang w:eastAsia="uk-UA"/>
              </w:rPr>
              <w:br/>
              <w:t> 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w:t>
            </w:r>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7" w:history="1">
              <w:r w:rsidRPr="00556E24">
                <w:rPr>
                  <w:rFonts w:ascii="Times New Roman" w:eastAsia="Times New Roman" w:hAnsi="Times New Roman" w:cs="Times New Roman"/>
                  <w:color w:val="425BA3"/>
                  <w:sz w:val="24"/>
                  <w:szCs w:val="24"/>
                  <w:u w:val="single"/>
                  <w:lang w:eastAsia="uk-UA"/>
                </w:rPr>
                <w:t>8</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8" w:history="1">
              <w:r w:rsidRPr="00556E24">
                <w:rPr>
                  <w:rFonts w:ascii="Times New Roman" w:eastAsia="Times New Roman" w:hAnsi="Times New Roman" w:cs="Times New Roman"/>
                  <w:color w:val="425BA3"/>
                  <w:sz w:val="24"/>
                  <w:szCs w:val="24"/>
                  <w:u w:val="single"/>
                  <w:lang w:eastAsia="uk-UA"/>
                </w:rPr>
                <w:t>Спосіб подання документів</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9" w:history="1">
              <w:r w:rsidRPr="00556E24">
                <w:rPr>
                  <w:rFonts w:ascii="Times New Roman" w:eastAsia="Times New Roman" w:hAnsi="Times New Roman" w:cs="Times New Roman"/>
                  <w:color w:val="425BA3"/>
                  <w:sz w:val="24"/>
                  <w:szCs w:val="24"/>
                  <w:u w:val="single"/>
                  <w:lang w:eastAsia="uk-UA"/>
                </w:rPr>
                <w:t>Заява</w:t>
              </w:r>
            </w:hyperlink>
            <w:r w:rsidRPr="00556E24">
              <w:rPr>
                <w:rFonts w:ascii="Times New Roman" w:eastAsia="Times New Roman" w:hAnsi="Times New Roman" w:cs="Times New Roman"/>
                <w:sz w:val="24"/>
                <w:szCs w:val="24"/>
                <w:lang w:eastAsia="uk-UA"/>
              </w:rPr>
              <w:t> </w:t>
            </w:r>
            <w:hyperlink r:id="rId10" w:history="1">
              <w:r w:rsidRPr="00556E24">
                <w:rPr>
                  <w:rFonts w:ascii="Times New Roman" w:eastAsia="Times New Roman" w:hAnsi="Times New Roman" w:cs="Times New Roman"/>
                  <w:color w:val="425BA3"/>
                  <w:sz w:val="24"/>
                  <w:szCs w:val="24"/>
                  <w:u w:val="single"/>
                  <w:lang w:eastAsia="uk-UA"/>
                </w:rPr>
                <w:t>та необхідні документи подаються особою суб'єкту надання адміністративної послуги*:</w:t>
              </w:r>
              <w:r w:rsidRPr="00556E24">
                <w:rPr>
                  <w:rFonts w:ascii="Times New Roman" w:eastAsia="Times New Roman" w:hAnsi="Times New Roman" w:cs="Times New Roman"/>
                  <w:color w:val="425BA3"/>
                  <w:sz w:val="24"/>
                  <w:szCs w:val="24"/>
                  <w:u w:val="single"/>
                  <w:lang w:eastAsia="uk-UA"/>
                </w:rPr>
                <w:br/>
                <w:t xml:space="preserve"> через уповноважених осіб </w:t>
              </w:r>
              <w:r w:rsidRPr="00556E24">
                <w:rPr>
                  <w:rFonts w:ascii="Times New Roman" w:eastAsia="Times New Roman" w:hAnsi="Times New Roman" w:cs="Times New Roman"/>
                  <w:color w:val="425BA3"/>
                  <w:sz w:val="24"/>
                  <w:szCs w:val="24"/>
                  <w:u w:val="single"/>
                  <w:lang w:eastAsia="uk-UA"/>
                </w:rPr>
                <w:lastRenderedPageBreak/>
                <w:t>виконавчого органу сільської, селищної, міської ради відповідної територіальної громади; посадових осіб центру надання адміністративних послуг;</w:t>
              </w:r>
              <w:r w:rsidRPr="00556E24">
                <w:rPr>
                  <w:rFonts w:ascii="Times New Roman" w:eastAsia="Times New Roman" w:hAnsi="Times New Roman" w:cs="Times New Roman"/>
                  <w:color w:val="425BA3"/>
                  <w:sz w:val="24"/>
                  <w:szCs w:val="24"/>
                  <w:u w:val="single"/>
                  <w:lang w:eastAsia="uk-UA"/>
                </w:rPr>
                <w:br/>
                <w:t> поштою або в електронній формі через Єдиний державний веб-портал електронних послуг "Портал Дія" (далі -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hyperlink>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1" w:history="1">
              <w:r w:rsidRPr="00556E24">
                <w:rPr>
                  <w:rFonts w:ascii="Times New Roman" w:eastAsia="Times New Roman" w:hAnsi="Times New Roman" w:cs="Times New Roman"/>
                  <w:color w:val="425BA3"/>
                  <w:sz w:val="24"/>
                  <w:szCs w:val="24"/>
                  <w:u w:val="single"/>
                  <w:lang w:eastAsia="uk-UA"/>
                </w:rPr>
                <w:t>9</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2" w:history="1">
              <w:r w:rsidRPr="00556E24">
                <w:rPr>
                  <w:rFonts w:ascii="Times New Roman" w:eastAsia="Times New Roman" w:hAnsi="Times New Roman" w:cs="Times New Roman"/>
                  <w:color w:val="425BA3"/>
                  <w:sz w:val="24"/>
                  <w:szCs w:val="24"/>
                  <w:u w:val="single"/>
                  <w:lang w:eastAsia="uk-UA"/>
                </w:rPr>
                <w:t>Платність (безоплатність) надання</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3" w:history="1">
              <w:r w:rsidRPr="00556E24">
                <w:rPr>
                  <w:rFonts w:ascii="Times New Roman" w:eastAsia="Times New Roman" w:hAnsi="Times New Roman" w:cs="Times New Roman"/>
                  <w:color w:val="425BA3"/>
                  <w:sz w:val="24"/>
                  <w:szCs w:val="24"/>
                  <w:u w:val="single"/>
                  <w:lang w:eastAsia="uk-UA"/>
                </w:rPr>
                <w:t>Адміністративна послуга надається безоплатно</w:t>
              </w:r>
            </w:hyperlink>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4" w:history="1">
              <w:r w:rsidRPr="00556E24">
                <w:rPr>
                  <w:rFonts w:ascii="Times New Roman" w:eastAsia="Times New Roman" w:hAnsi="Times New Roman" w:cs="Times New Roman"/>
                  <w:color w:val="425BA3"/>
                  <w:sz w:val="24"/>
                  <w:szCs w:val="24"/>
                  <w:u w:val="single"/>
                  <w:lang w:eastAsia="uk-UA"/>
                </w:rPr>
                <w:t>10</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5" w:history="1">
              <w:r w:rsidRPr="00556E24">
                <w:rPr>
                  <w:rFonts w:ascii="Times New Roman" w:eastAsia="Times New Roman" w:hAnsi="Times New Roman" w:cs="Times New Roman"/>
                  <w:color w:val="425BA3"/>
                  <w:sz w:val="24"/>
                  <w:szCs w:val="24"/>
                  <w:u w:val="single"/>
                  <w:lang w:eastAsia="uk-UA"/>
                </w:rPr>
                <w:t>Строк надання</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6" w:history="1">
              <w:r w:rsidRPr="00556E24">
                <w:rPr>
                  <w:rFonts w:ascii="Times New Roman" w:eastAsia="Times New Roman" w:hAnsi="Times New Roman" w:cs="Times New Roman"/>
                  <w:color w:val="425BA3"/>
                  <w:sz w:val="24"/>
                  <w:szCs w:val="24"/>
                  <w:u w:val="single"/>
                  <w:lang w:eastAsia="uk-UA"/>
                </w:rPr>
                <w:t>Суб'єктом надання адміністративної послуги протягом 10 календарних днів з дня подання необхідних документів приймається рішення про призначення житлової субсидії / непризначення житлової субсидії (якщо за результатами розрахунку житлової субсидії її розмір має нульове або від'ємне значення) / відмову в призначенні житлової субсидії</w:t>
              </w:r>
            </w:hyperlink>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7" w:history="1">
              <w:r w:rsidRPr="00556E24">
                <w:rPr>
                  <w:rFonts w:ascii="Times New Roman" w:eastAsia="Times New Roman" w:hAnsi="Times New Roman" w:cs="Times New Roman"/>
                  <w:color w:val="425BA3"/>
                  <w:sz w:val="24"/>
                  <w:szCs w:val="24"/>
                  <w:u w:val="single"/>
                  <w:lang w:eastAsia="uk-UA"/>
                </w:rPr>
                <w:t>11</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8" w:history="1">
              <w:r w:rsidRPr="00556E24">
                <w:rPr>
                  <w:rFonts w:ascii="Times New Roman" w:eastAsia="Times New Roman" w:hAnsi="Times New Roman" w:cs="Times New Roman"/>
                  <w:color w:val="425BA3"/>
                  <w:sz w:val="24"/>
                  <w:szCs w:val="24"/>
                  <w:u w:val="single"/>
                  <w:lang w:eastAsia="uk-UA"/>
                </w:rPr>
                <w:t>Перелік підстав для відмови в призначенні</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19" w:history="1">
              <w:r w:rsidRPr="00556E24">
                <w:rPr>
                  <w:rFonts w:ascii="Times New Roman" w:eastAsia="Times New Roman" w:hAnsi="Times New Roman" w:cs="Times New Roman"/>
                  <w:color w:val="425BA3"/>
                  <w:sz w:val="24"/>
                  <w:szCs w:val="24"/>
                  <w:u w:val="single"/>
                  <w:lang w:eastAsia="uk-UA"/>
                </w:rPr>
                <w:t>Житлова субсидія не призначається (в тому числі на наступний період), якщо:</w:t>
              </w:r>
              <w:r w:rsidRPr="00556E24">
                <w:rPr>
                  <w:rFonts w:ascii="Times New Roman" w:eastAsia="Times New Roman" w:hAnsi="Times New Roman" w:cs="Times New Roman"/>
                  <w:color w:val="425BA3"/>
                  <w:sz w:val="24"/>
                  <w:szCs w:val="24"/>
                  <w:u w:val="single"/>
                  <w:lang w:eastAsia="uk-UA"/>
                </w:rPr>
                <w:br/>
                <w:t xml:space="preserve"> 1) загальна площа житлового приміщення перевищує 130 кв. метрів для квартир у багатоквартирному будинку, 230 кв. метрів для індивідуальних будинків (крім житлових приміщень </w:t>
              </w:r>
              <w:r w:rsidRPr="00556E24">
                <w:rPr>
                  <w:rFonts w:ascii="Times New Roman" w:eastAsia="Times New Roman" w:hAnsi="Times New Roman" w:cs="Times New Roman"/>
                  <w:color w:val="425BA3"/>
                  <w:sz w:val="24"/>
                  <w:szCs w:val="24"/>
                  <w:u w:val="single"/>
                  <w:lang w:eastAsia="uk-UA"/>
                </w:rPr>
                <w:lastRenderedPageBreak/>
                <w:t>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житлових приміщень, на які оформлено два і більше окремі особові рахунки на оплату житлово-комунальних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кв. метрів для квартири, 230 кв. метрів для індивідуального будинку; житлових приміщень, якими забезпечено за рахунок державного чи місцевого бюджету осіб з інвалідністю з ураженнями опорно-рухового апарату, які пересуваються на візках);</w:t>
              </w:r>
              <w:r w:rsidRPr="00556E24">
                <w:rPr>
                  <w:rFonts w:ascii="Times New Roman" w:eastAsia="Times New Roman" w:hAnsi="Times New Roman" w:cs="Times New Roman"/>
                  <w:color w:val="425BA3"/>
                  <w:sz w:val="24"/>
                  <w:szCs w:val="24"/>
                  <w:u w:val="single"/>
                  <w:lang w:eastAsia="uk-UA"/>
                </w:rPr>
                <w:br/>
                <w:t> 2) будь-хто зі складу домогосподарства або член сім'ї особи із складу домогосподарства має у власності:</w:t>
              </w:r>
              <w:r w:rsidRPr="00556E24">
                <w:rPr>
                  <w:rFonts w:ascii="Times New Roman" w:eastAsia="Times New Roman" w:hAnsi="Times New Roman" w:cs="Times New Roman"/>
                  <w:color w:val="425BA3"/>
                  <w:sz w:val="24"/>
                  <w:szCs w:val="24"/>
                  <w:u w:val="single"/>
                  <w:lang w:eastAsia="uk-UA"/>
                </w:rPr>
                <w:br/>
                <w:t> транспортний засіб, що підлягає державній реєстрації, з року випуску якого минуло менше ніж п'ять років (крім мопеда і причепа);</w:t>
              </w:r>
              <w:r w:rsidRPr="00556E24">
                <w:rPr>
                  <w:rFonts w:ascii="Times New Roman" w:eastAsia="Times New Roman" w:hAnsi="Times New Roman" w:cs="Times New Roman"/>
                  <w:color w:val="425BA3"/>
                  <w:sz w:val="24"/>
                  <w:szCs w:val="24"/>
                  <w:u w:val="single"/>
                  <w:lang w:eastAsia="uk-UA"/>
                </w:rPr>
                <w:br/>
                <w:t> більше ніж один транспортний засіб, що підлягає державній реєстрації, з року випуску якого минуло менше ніж 15 років (крім мопеда і причепа).</w:t>
              </w:r>
              <w:r w:rsidRPr="00556E24">
                <w:rPr>
                  <w:rFonts w:ascii="Times New Roman" w:eastAsia="Times New Roman" w:hAnsi="Times New Roman" w:cs="Times New Roman"/>
                  <w:color w:val="425BA3"/>
                  <w:sz w:val="24"/>
                  <w:szCs w:val="24"/>
                  <w:u w:val="single"/>
                  <w:lang w:eastAsia="uk-UA"/>
                </w:rPr>
                <w:br/>
                <w:t xml:space="preserve"> При цьому не враховуються транспортні засоби, одержані безоплатно чи придбані на пільгових умовах через структурні підрозділи з </w:t>
              </w:r>
              <w:r w:rsidRPr="00556E24">
                <w:rPr>
                  <w:rFonts w:ascii="Times New Roman" w:eastAsia="Times New Roman" w:hAnsi="Times New Roman" w:cs="Times New Roman"/>
                  <w:color w:val="425BA3"/>
                  <w:sz w:val="24"/>
                  <w:szCs w:val="24"/>
                  <w:u w:val="single"/>
                  <w:lang w:eastAsia="uk-UA"/>
                </w:rPr>
                <w:lastRenderedPageBreak/>
                <w:t>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r w:rsidRPr="00556E24">
                <w:rPr>
                  <w:rFonts w:ascii="Times New Roman" w:eastAsia="Times New Roman" w:hAnsi="Times New Roman" w:cs="Times New Roman"/>
                  <w:color w:val="425BA3"/>
                  <w:sz w:val="24"/>
                  <w:szCs w:val="24"/>
                  <w:u w:val="single"/>
                  <w:lang w:eastAsia="uk-UA"/>
                </w:rPr>
                <w:br/>
                <w:t> 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r w:rsidRPr="00556E24">
                <w:rPr>
                  <w:rFonts w:ascii="Times New Roman" w:eastAsia="Times New Roman" w:hAnsi="Times New Roman" w:cs="Times New Roman"/>
                  <w:color w:val="425BA3"/>
                  <w:sz w:val="24"/>
                  <w:szCs w:val="24"/>
                  <w:u w:val="single"/>
                  <w:lang w:eastAsia="uk-UA"/>
                </w:rPr>
                <w:br/>
                <w:t> за інформацією ДПС, Пенсійного фонду України, у них відсутні доходи, які враховуються під час призначення житлової субсидії; або</w:t>
              </w:r>
              <w:r w:rsidRPr="00556E24">
                <w:rPr>
                  <w:rFonts w:ascii="Times New Roman" w:eastAsia="Times New Roman" w:hAnsi="Times New Roman" w:cs="Times New Roman"/>
                  <w:color w:val="425BA3"/>
                  <w:sz w:val="24"/>
                  <w:szCs w:val="24"/>
                  <w:u w:val="single"/>
                  <w:lang w:eastAsia="uk-UA"/>
                </w:rPr>
                <w:br/>
                <w:t> 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та/або</w:t>
              </w:r>
              <w:r w:rsidRPr="00556E24">
                <w:rPr>
                  <w:rFonts w:ascii="Times New Roman" w:eastAsia="Times New Roman" w:hAnsi="Times New Roman" w:cs="Times New Roman"/>
                  <w:color w:val="425BA3"/>
                  <w:sz w:val="24"/>
                  <w:szCs w:val="24"/>
                  <w:u w:val="single"/>
                  <w:lang w:eastAsia="uk-UA"/>
                </w:rPr>
                <w:br/>
                <w:t xml:space="preserve"> 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w:t>
              </w:r>
              <w:r w:rsidRPr="00556E24">
                <w:rPr>
                  <w:rFonts w:ascii="Times New Roman" w:eastAsia="Times New Roman" w:hAnsi="Times New Roman" w:cs="Times New Roman"/>
                  <w:color w:val="425BA3"/>
                  <w:sz w:val="24"/>
                  <w:szCs w:val="24"/>
                  <w:u w:val="single"/>
                  <w:lang w:eastAsia="uk-UA"/>
                </w:rPr>
                <w:lastRenderedPageBreak/>
                <w:t>загальнообов'язкове державне соціальне страхування); або</w:t>
              </w:r>
              <w:r w:rsidRPr="00556E24">
                <w:rPr>
                  <w:rFonts w:ascii="Times New Roman" w:eastAsia="Times New Roman" w:hAnsi="Times New Roman" w:cs="Times New Roman"/>
                  <w:color w:val="425BA3"/>
                  <w:sz w:val="24"/>
                  <w:szCs w:val="24"/>
                  <w:u w:val="single"/>
                  <w:lang w:eastAsia="uk-UA"/>
                </w:rPr>
                <w:br/>
                <w:t> такі особи перебували за кордоном сукупно більше ніж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за кордоном, що підтверджується відповідними документами;</w:t>
              </w:r>
              <w:r w:rsidRPr="00556E24">
                <w:rPr>
                  <w:rFonts w:ascii="Times New Roman" w:eastAsia="Times New Roman" w:hAnsi="Times New Roman" w:cs="Times New Roman"/>
                  <w:color w:val="425BA3"/>
                  <w:sz w:val="24"/>
                  <w:szCs w:val="24"/>
                  <w:u w:val="single"/>
                  <w:lang w:eastAsia="uk-UA"/>
                </w:rPr>
                <w:br/>
                <w:t> 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r w:rsidRPr="00556E24">
                <w:rPr>
                  <w:rFonts w:ascii="Times New Roman" w:eastAsia="Times New Roman" w:hAnsi="Times New Roman" w:cs="Times New Roman"/>
                  <w:color w:val="425BA3"/>
                  <w:sz w:val="24"/>
                  <w:szCs w:val="24"/>
                  <w:u w:val="single"/>
                  <w:lang w:eastAsia="uk-UA"/>
                </w:rPr>
                <w:br/>
                <w:t> купівлю земельної ділянки, квартири (будинку), іншого нерухомого майна, транспортного засобу (механізму), цінних паперів та інших фінансових інструментів, віртуальних активів (у значенні, наведеному в</w:t>
              </w:r>
            </w:hyperlink>
            <w:r w:rsidRPr="00556E24">
              <w:rPr>
                <w:rFonts w:ascii="Times New Roman" w:eastAsia="Times New Roman" w:hAnsi="Times New Roman" w:cs="Times New Roman"/>
                <w:sz w:val="24"/>
                <w:szCs w:val="24"/>
                <w:lang w:eastAsia="uk-UA"/>
              </w:rPr>
              <w:t> </w:t>
            </w:r>
            <w:hyperlink r:id="rId20" w:history="1">
              <w:r w:rsidRPr="00556E24">
                <w:rPr>
                  <w:rFonts w:ascii="Times New Roman" w:eastAsia="Times New Roman" w:hAnsi="Times New Roman" w:cs="Times New Roman"/>
                  <w:color w:val="425BA3"/>
                  <w:sz w:val="24"/>
                  <w:szCs w:val="24"/>
                  <w:u w:val="single"/>
                  <w:lang w:eastAsia="uk-UA"/>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hyperlink r:id="rId21" w:history="1">
              <w:r w:rsidRPr="00556E24">
                <w:rPr>
                  <w:rFonts w:ascii="Times New Roman" w:eastAsia="Times New Roman" w:hAnsi="Times New Roman" w:cs="Times New Roman"/>
                  <w:color w:val="425BA3"/>
                  <w:sz w:val="24"/>
                  <w:szCs w:val="24"/>
                  <w:u w:val="single"/>
                  <w:lang w:eastAsia="uk-UA"/>
                </w:rPr>
                <w:t xml:space="preserve">), будівельних матеріалів, інших товарів довгострокового вжитку або оплату (одноразово) будь-яких робіт або послуг (крім медичних, освітніх та житлово-комунальних послуг згідно із соціальною нормою житла (в тому числі понаднормовою площею </w:t>
              </w:r>
              <w:r w:rsidRPr="00556E24">
                <w:rPr>
                  <w:rFonts w:ascii="Times New Roman" w:eastAsia="Times New Roman" w:hAnsi="Times New Roman" w:cs="Times New Roman"/>
                  <w:color w:val="425BA3"/>
                  <w:sz w:val="24"/>
                  <w:szCs w:val="24"/>
                  <w:u w:val="single"/>
                  <w:lang w:eastAsia="uk-UA"/>
                </w:rPr>
                <w:lastRenderedPageBreak/>
                <w:t>житла) та соціальними нормативами житлово-комунального обслуговування);</w:t>
              </w:r>
              <w:r w:rsidRPr="00556E24">
                <w:rPr>
                  <w:rFonts w:ascii="Times New Roman" w:eastAsia="Times New Roman" w:hAnsi="Times New Roman" w:cs="Times New Roman"/>
                  <w:color w:val="425BA3"/>
                  <w:sz w:val="24"/>
                  <w:szCs w:val="24"/>
                  <w:u w:val="single"/>
                  <w:lang w:eastAsia="uk-UA"/>
                </w:rPr>
                <w:br/>
                <w:t> платіж (платежі), що випливає (випливають) з правочинів, якими передбачено набуття майнових прав на нерухоме майно та/або транспортні засоби (механізми) (крім об'єктів спадщини та дарування);</w:t>
              </w:r>
              <w:r w:rsidRPr="00556E24">
                <w:rPr>
                  <w:rFonts w:ascii="Times New Roman" w:eastAsia="Times New Roman" w:hAnsi="Times New Roman" w:cs="Times New Roman"/>
                  <w:color w:val="425BA3"/>
                  <w:sz w:val="24"/>
                  <w:szCs w:val="24"/>
                  <w:u w:val="single"/>
                  <w:lang w:eastAsia="uk-UA"/>
                </w:rPr>
                <w:br/>
                <w:t> внески до статутного (складеного) капіталу товариства, підприємства, організації;</w:t>
              </w:r>
              <w:r w:rsidRPr="00556E24">
                <w:rPr>
                  <w:rFonts w:ascii="Times New Roman" w:eastAsia="Times New Roman" w:hAnsi="Times New Roman" w:cs="Times New Roman"/>
                  <w:color w:val="425BA3"/>
                  <w:sz w:val="24"/>
                  <w:szCs w:val="24"/>
                  <w:u w:val="single"/>
                  <w:lang w:eastAsia="uk-UA"/>
                </w:rPr>
                <w:br/>
                <w:t> благодійну діяльність (виключно у вигляді сплати коштів);</w:t>
              </w:r>
              <w:r w:rsidRPr="00556E24">
                <w:rPr>
                  <w:rFonts w:ascii="Times New Roman" w:eastAsia="Times New Roman" w:hAnsi="Times New Roman" w:cs="Times New Roman"/>
                  <w:color w:val="425BA3"/>
                  <w:sz w:val="24"/>
                  <w:szCs w:val="24"/>
                  <w:u w:val="single"/>
                  <w:lang w:eastAsia="uk-UA"/>
                </w:rPr>
                <w:br/>
                <w:t> надання поворотної / безповоротної фінансової допомоги, позики;</w:t>
              </w:r>
              <w:r w:rsidRPr="00556E24">
                <w:rPr>
                  <w:rFonts w:ascii="Times New Roman" w:eastAsia="Times New Roman" w:hAnsi="Times New Roman" w:cs="Times New Roman"/>
                  <w:color w:val="425BA3"/>
                  <w:sz w:val="24"/>
                  <w:szCs w:val="24"/>
                  <w:u w:val="single"/>
                  <w:lang w:eastAsia="uk-UA"/>
                </w:rPr>
                <w:br/>
                <w:t xml:space="preserve"> 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w:t>
              </w:r>
              <w:r w:rsidRPr="00556E24">
                <w:rPr>
                  <w:rFonts w:ascii="Times New Roman" w:eastAsia="Times New Roman" w:hAnsi="Times New Roman" w:cs="Times New Roman"/>
                  <w:color w:val="425BA3"/>
                  <w:sz w:val="24"/>
                  <w:szCs w:val="24"/>
                  <w:u w:val="single"/>
                  <w:lang w:eastAsia="uk-UA"/>
                </w:rPr>
                <w:lastRenderedPageBreak/>
                <w:t>споживачами до стандартних умов.</w:t>
              </w:r>
              <w:r w:rsidRPr="00556E24">
                <w:rPr>
                  <w:rFonts w:ascii="Times New Roman" w:eastAsia="Times New Roman" w:hAnsi="Times New Roman" w:cs="Times New Roman"/>
                  <w:color w:val="425BA3"/>
                  <w:sz w:val="24"/>
                  <w:szCs w:val="24"/>
                  <w:u w:val="single"/>
                  <w:lang w:eastAsia="uk-UA"/>
                </w:rPr>
                <w:br/>
                <w:t> 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w:t>
              </w:r>
              <w:r w:rsidRPr="00556E24">
                <w:rPr>
                  <w:rFonts w:ascii="Times New Roman" w:eastAsia="Times New Roman" w:hAnsi="Times New Roman" w:cs="Times New Roman"/>
                  <w:color w:val="425BA3"/>
                  <w:sz w:val="24"/>
                  <w:szCs w:val="24"/>
                  <w:u w:val="single"/>
                  <w:lang w:eastAsia="uk-UA"/>
                </w:rPr>
                <w:br/>
                <w:t> 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 такого газу у відповідність зі стандартними умовами відповідні нарахування проведено, заборгованість за таким виконавцем не враховується.</w:t>
              </w:r>
              <w:r w:rsidRPr="00556E24">
                <w:rPr>
                  <w:rFonts w:ascii="Times New Roman" w:eastAsia="Times New Roman" w:hAnsi="Times New Roman" w:cs="Times New Roman"/>
                  <w:color w:val="425BA3"/>
                  <w:sz w:val="24"/>
                  <w:szCs w:val="24"/>
                  <w:u w:val="single"/>
                  <w:lang w:eastAsia="uk-UA"/>
                </w:rPr>
                <w:br/>
                <w:t> 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r w:rsidRPr="00556E24">
                <w:rPr>
                  <w:rFonts w:ascii="Times New Roman" w:eastAsia="Times New Roman" w:hAnsi="Times New Roman" w:cs="Times New Roman"/>
                  <w:color w:val="425BA3"/>
                  <w:sz w:val="24"/>
                  <w:szCs w:val="24"/>
                  <w:u w:val="single"/>
                  <w:lang w:eastAsia="uk-UA"/>
                </w:rPr>
                <w:br/>
                <w:t xml:space="preserve"> 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w:t>
              </w:r>
              <w:r w:rsidRPr="00556E24">
                <w:rPr>
                  <w:rFonts w:ascii="Times New Roman" w:eastAsia="Times New Roman" w:hAnsi="Times New Roman" w:cs="Times New Roman"/>
                  <w:color w:val="425BA3"/>
                  <w:sz w:val="24"/>
                  <w:szCs w:val="24"/>
                  <w:u w:val="single"/>
                  <w:lang w:eastAsia="uk-UA"/>
                </w:rPr>
                <w:lastRenderedPageBreak/>
                <w:t>стягнення аліментів понад три місяці (крім осіб, які вважаються безвісно відсутніми за рішенням суду або мають правовий статус осіб, зниклих безвісти, осіб, які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r w:rsidRPr="00556E24">
                <w:rPr>
                  <w:rFonts w:ascii="Times New Roman" w:eastAsia="Times New Roman" w:hAnsi="Times New Roman" w:cs="Times New Roman"/>
                  <w:color w:val="425BA3"/>
                  <w:sz w:val="24"/>
                  <w:szCs w:val="24"/>
                  <w:u w:val="single"/>
                  <w:lang w:eastAsia="uk-UA"/>
                </w:rPr>
                <w:br/>
                <w:t xml:space="preserve"> 8) будь-хто зі складу домогосподарства або член сім'ї особи зі складу домогосподарства має у власності більше ніж одне житлове приміщення (квартиру, будинок), крім житла, яке належить на правах спільної сумісної або часткової власності, розташованого в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формою згідно з додатком до Порядку надання щомісячної адресної допомоги внутрішньо переміщеним особам для покриття витрат </w:t>
              </w:r>
              <w:r w:rsidRPr="00556E24">
                <w:rPr>
                  <w:rFonts w:ascii="Times New Roman" w:eastAsia="Times New Roman" w:hAnsi="Times New Roman" w:cs="Times New Roman"/>
                  <w:color w:val="425BA3"/>
                  <w:sz w:val="24"/>
                  <w:szCs w:val="24"/>
                  <w:u w:val="single"/>
                  <w:lang w:eastAsia="uk-UA"/>
                </w:rPr>
                <w:lastRenderedPageBreak/>
                <w:t>на проживання, в тому числі на оплату житлово-комунальних послуг, затвердженого</w:t>
              </w:r>
            </w:hyperlink>
            <w:r w:rsidRPr="00556E24">
              <w:rPr>
                <w:rFonts w:ascii="Times New Roman" w:eastAsia="Times New Roman" w:hAnsi="Times New Roman" w:cs="Times New Roman"/>
                <w:sz w:val="24"/>
                <w:szCs w:val="24"/>
                <w:lang w:eastAsia="uk-UA"/>
              </w:rPr>
              <w:t> </w:t>
            </w:r>
            <w:hyperlink r:id="rId22" w:history="1">
              <w:r w:rsidRPr="00556E24">
                <w:rPr>
                  <w:rFonts w:ascii="Times New Roman" w:eastAsia="Times New Roman" w:hAnsi="Times New Roman" w:cs="Times New Roman"/>
                  <w:color w:val="425BA3"/>
                  <w:sz w:val="24"/>
                  <w:szCs w:val="24"/>
                  <w:u w:val="single"/>
                  <w:lang w:eastAsia="uk-UA"/>
                </w:rPr>
                <w:t>постановою Кабінету Міністрів України від 01.10.2014 N 505</w:t>
              </w:r>
            </w:hyperlink>
            <w:hyperlink r:id="rId23" w:history="1">
              <w:r w:rsidRPr="00556E24">
                <w:rPr>
                  <w:rFonts w:ascii="Times New Roman" w:eastAsia="Times New Roman" w:hAnsi="Times New Roman" w:cs="Times New Roman"/>
                  <w:color w:val="425BA3"/>
                  <w:sz w:val="24"/>
                  <w:szCs w:val="24"/>
                  <w:u w:val="single"/>
                  <w:lang w:eastAsia="uk-UA"/>
                </w:rPr>
                <w:t>. Інформація про наявність (відсутність) у власності зазначених осіб житлових приміщень зазначається у</w:t>
              </w:r>
            </w:hyperlink>
            <w:r w:rsidRPr="00556E24">
              <w:rPr>
                <w:rFonts w:ascii="Times New Roman" w:eastAsia="Times New Roman" w:hAnsi="Times New Roman" w:cs="Times New Roman"/>
                <w:sz w:val="24"/>
                <w:szCs w:val="24"/>
                <w:lang w:eastAsia="uk-UA"/>
              </w:rPr>
              <w:t> </w:t>
            </w:r>
            <w:hyperlink r:id="rId24" w:history="1">
              <w:r w:rsidRPr="00556E24">
                <w:rPr>
                  <w:rFonts w:ascii="Times New Roman" w:eastAsia="Times New Roman" w:hAnsi="Times New Roman" w:cs="Times New Roman"/>
                  <w:color w:val="425BA3"/>
                  <w:sz w:val="24"/>
                  <w:szCs w:val="24"/>
                  <w:u w:val="single"/>
                  <w:lang w:eastAsia="uk-UA"/>
                </w:rPr>
                <w:t>декларації</w:t>
              </w:r>
            </w:hyperlink>
            <w:hyperlink r:id="rId25" w:history="1">
              <w:r w:rsidRPr="00556E24">
                <w:rPr>
                  <w:rFonts w:ascii="Times New Roman" w:eastAsia="Times New Roman" w:hAnsi="Times New Roman" w:cs="Times New Roman"/>
                  <w:color w:val="425BA3"/>
                  <w:sz w:val="24"/>
                  <w:szCs w:val="24"/>
                  <w:u w:val="single"/>
                  <w:lang w:eastAsia="uk-UA"/>
                </w:rPr>
                <w:t>;</w:t>
              </w:r>
              <w:r w:rsidRPr="00556E24">
                <w:rPr>
                  <w:rFonts w:ascii="Times New Roman" w:eastAsia="Times New Roman" w:hAnsi="Times New Roman" w:cs="Times New Roman"/>
                  <w:color w:val="425BA3"/>
                  <w:sz w:val="24"/>
                  <w:szCs w:val="24"/>
                  <w:u w:val="single"/>
                  <w:lang w:eastAsia="uk-UA"/>
                </w:rPr>
                <w:br/>
                <w:t> 9) будь-хто зі складу домогосподарства або член сім'ї особи зі складу домогосподарства на 1 число місяця, з якого призначається житлова субсидія, має на депозитному банківському рахунку (рахунках) кошти в сумі, що перевищує 100 тис. гривень, про що зазначається в</w:t>
              </w:r>
            </w:hyperlink>
            <w:r w:rsidRPr="00556E24">
              <w:rPr>
                <w:rFonts w:ascii="Times New Roman" w:eastAsia="Times New Roman" w:hAnsi="Times New Roman" w:cs="Times New Roman"/>
                <w:sz w:val="24"/>
                <w:szCs w:val="24"/>
                <w:lang w:eastAsia="uk-UA"/>
              </w:rPr>
              <w:t> </w:t>
            </w:r>
            <w:hyperlink r:id="rId26" w:history="1">
              <w:r w:rsidRPr="00556E24">
                <w:rPr>
                  <w:rFonts w:ascii="Times New Roman" w:eastAsia="Times New Roman" w:hAnsi="Times New Roman" w:cs="Times New Roman"/>
                  <w:color w:val="425BA3"/>
                  <w:sz w:val="24"/>
                  <w:szCs w:val="24"/>
                  <w:u w:val="single"/>
                  <w:lang w:eastAsia="uk-UA"/>
                </w:rPr>
                <w:t>декларації</w:t>
              </w:r>
            </w:hyperlink>
            <w:hyperlink r:id="rId27" w:history="1">
              <w:r w:rsidRPr="00556E24">
                <w:rPr>
                  <w:rFonts w:ascii="Times New Roman" w:eastAsia="Times New Roman" w:hAnsi="Times New Roman" w:cs="Times New Roman"/>
                  <w:color w:val="425BA3"/>
                  <w:sz w:val="24"/>
                  <w:szCs w:val="24"/>
                  <w:u w:val="single"/>
                  <w:lang w:eastAsia="uk-UA"/>
                </w:rPr>
                <w:t>;</w:t>
              </w:r>
              <w:r w:rsidRPr="00556E24">
                <w:rPr>
                  <w:rFonts w:ascii="Times New Roman" w:eastAsia="Times New Roman" w:hAnsi="Times New Roman" w:cs="Times New Roman"/>
                  <w:color w:val="425BA3"/>
                  <w:sz w:val="24"/>
                  <w:szCs w:val="24"/>
                  <w:u w:val="single"/>
                  <w:lang w:eastAsia="uk-UA"/>
                </w:rPr>
                <w:br/>
                <w:t> 10)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а також банківських металів на загальну суму, що перевищує 50 тис. гривень</w:t>
              </w:r>
            </w:hyperlink>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28" w:history="1">
              <w:r w:rsidRPr="00556E24">
                <w:rPr>
                  <w:rFonts w:ascii="Times New Roman" w:eastAsia="Times New Roman" w:hAnsi="Times New Roman" w:cs="Times New Roman"/>
                  <w:color w:val="425BA3"/>
                  <w:sz w:val="24"/>
                  <w:szCs w:val="24"/>
                  <w:u w:val="single"/>
                  <w:lang w:eastAsia="uk-UA"/>
                </w:rPr>
                <w:t>12</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29" w:history="1">
              <w:r w:rsidRPr="00556E24">
                <w:rPr>
                  <w:rFonts w:ascii="Times New Roman" w:eastAsia="Times New Roman" w:hAnsi="Times New Roman" w:cs="Times New Roman"/>
                  <w:color w:val="425BA3"/>
                  <w:sz w:val="24"/>
                  <w:szCs w:val="24"/>
                  <w:u w:val="single"/>
                  <w:lang w:eastAsia="uk-UA"/>
                </w:rPr>
                <w:t>Результат надання адміністративної послуги</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30" w:history="1">
              <w:r w:rsidRPr="00556E24">
                <w:rPr>
                  <w:rFonts w:ascii="Times New Roman" w:eastAsia="Times New Roman" w:hAnsi="Times New Roman" w:cs="Times New Roman"/>
                  <w:color w:val="425BA3"/>
                  <w:sz w:val="24"/>
                  <w:szCs w:val="24"/>
                  <w:u w:val="single"/>
                  <w:lang w:eastAsia="uk-UA"/>
                </w:rPr>
                <w:t>Надання житлової субсидії / непризначення житлової субсидії (якщо за результатами розрахунку житлової субсидії її розмір має нульове або від'ємне значення) / відмова у призначенні житлової субсидії</w:t>
              </w:r>
            </w:hyperlink>
          </w:p>
        </w:tc>
      </w:tr>
      <w:tr w:rsidR="00556E24" w:rsidRPr="00556E24" w:rsidTr="00556E2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31" w:history="1">
              <w:r w:rsidRPr="00556E24">
                <w:rPr>
                  <w:rFonts w:ascii="Times New Roman" w:eastAsia="Times New Roman" w:hAnsi="Times New Roman" w:cs="Times New Roman"/>
                  <w:color w:val="425BA3"/>
                  <w:sz w:val="24"/>
                  <w:szCs w:val="24"/>
                  <w:u w:val="single"/>
                  <w:lang w:eastAsia="uk-UA"/>
                </w:rPr>
                <w:t>13</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32" w:history="1">
              <w:r w:rsidRPr="00556E24">
                <w:rPr>
                  <w:rFonts w:ascii="Times New Roman" w:eastAsia="Times New Roman" w:hAnsi="Times New Roman" w:cs="Times New Roman"/>
                  <w:color w:val="425BA3"/>
                  <w:sz w:val="24"/>
                  <w:szCs w:val="24"/>
                  <w:u w:val="single"/>
                  <w:lang w:eastAsia="uk-UA"/>
                </w:rPr>
                <w:t>Способи отримання відповіді (результату)</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556E24" w:rsidRPr="00556E24" w:rsidRDefault="00556E24" w:rsidP="00556E24">
            <w:pPr>
              <w:spacing w:after="0" w:line="240" w:lineRule="auto"/>
              <w:ind w:firstLine="180"/>
              <w:jc w:val="both"/>
              <w:rPr>
                <w:rFonts w:ascii="Times New Roman" w:eastAsia="Times New Roman" w:hAnsi="Times New Roman" w:cs="Times New Roman"/>
                <w:sz w:val="24"/>
                <w:szCs w:val="24"/>
                <w:lang w:eastAsia="uk-UA"/>
              </w:rPr>
            </w:pPr>
            <w:hyperlink r:id="rId33" w:history="1">
              <w:r w:rsidRPr="00556E24">
                <w:rPr>
                  <w:rFonts w:ascii="Times New Roman" w:eastAsia="Times New Roman" w:hAnsi="Times New Roman" w:cs="Times New Roman"/>
                  <w:color w:val="425BA3"/>
                  <w:sz w:val="24"/>
                  <w:szCs w:val="24"/>
                  <w:u w:val="single"/>
                  <w:lang w:eastAsia="uk-UA"/>
                </w:rPr>
                <w:t xml:space="preserve">У разі прийняття рішення про призначення (непризначення) житлової субсидії суб'єкт надання адміністративної послуги повідомляє заявника про прийняте рішення протягом трьох календарних днів з дня </w:t>
              </w:r>
              <w:r w:rsidRPr="00556E24">
                <w:rPr>
                  <w:rFonts w:ascii="Times New Roman" w:eastAsia="Times New Roman" w:hAnsi="Times New Roman" w:cs="Times New Roman"/>
                  <w:color w:val="425BA3"/>
                  <w:sz w:val="24"/>
                  <w:szCs w:val="24"/>
                  <w:u w:val="single"/>
                  <w:lang w:eastAsia="uk-UA"/>
                </w:rPr>
                <w:lastRenderedPageBreak/>
                <w:t>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смс-повідомлення, електронні засоби зв'язку, електронна пошта (за наявності), повідомлення через Портал Дія).</w:t>
              </w:r>
              <w:r w:rsidRPr="00556E24">
                <w:rPr>
                  <w:rFonts w:ascii="Times New Roman" w:eastAsia="Times New Roman" w:hAnsi="Times New Roman" w:cs="Times New Roman"/>
                  <w:color w:val="425BA3"/>
                  <w:sz w:val="24"/>
                  <w:szCs w:val="24"/>
                  <w:u w:val="single"/>
                  <w:lang w:eastAsia="uk-UA"/>
                </w:rPr>
                <w:br/>
                <w:t> 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hyperlink>
          </w:p>
        </w:tc>
      </w:tr>
    </w:tbl>
    <w:p w:rsidR="00556E24" w:rsidRPr="00556E24" w:rsidRDefault="00556E24" w:rsidP="00556E24">
      <w:pPr>
        <w:shd w:val="clear" w:color="auto" w:fill="FFFFFF"/>
        <w:spacing w:after="0" w:line="240" w:lineRule="auto"/>
        <w:ind w:firstLine="180"/>
        <w:jc w:val="center"/>
        <w:rPr>
          <w:rFonts w:ascii="Verdana" w:eastAsia="Times New Roman" w:hAnsi="Verdana" w:cs="Times New Roman"/>
          <w:color w:val="001E2B"/>
          <w:sz w:val="21"/>
          <w:szCs w:val="21"/>
          <w:lang w:eastAsia="uk-UA"/>
        </w:rPr>
      </w:pPr>
      <w:hyperlink r:id="rId34" w:history="1">
        <w:r w:rsidRPr="00556E24">
          <w:rPr>
            <w:rFonts w:ascii="Verdana" w:eastAsia="Times New Roman" w:hAnsi="Verdana" w:cs="Times New Roman"/>
            <w:color w:val="425BA3"/>
            <w:sz w:val="21"/>
            <w:szCs w:val="21"/>
            <w:u w:val="single"/>
            <w:lang w:eastAsia="uk-UA"/>
          </w:rPr>
          <w:t>____________</w:t>
        </w:r>
        <w:r w:rsidRPr="00556E24">
          <w:rPr>
            <w:rFonts w:ascii="Verdana" w:eastAsia="Times New Roman" w:hAnsi="Verdana" w:cs="Times New Roman"/>
            <w:color w:val="425BA3"/>
            <w:sz w:val="21"/>
            <w:szCs w:val="21"/>
            <w:u w:val="single"/>
            <w:lang w:eastAsia="uk-UA"/>
          </w:rPr>
          <w:br/>
          <w:t> * </w:t>
        </w:r>
        <w:r w:rsidRPr="00556E24">
          <w:rPr>
            <w:rFonts w:ascii="Verdana" w:eastAsia="Times New Roman" w:hAnsi="Verdana" w:cs="Times New Roman"/>
            <w:i/>
            <w:iCs/>
            <w:color w:val="425BA3"/>
            <w:sz w:val="21"/>
            <w:szCs w:val="21"/>
            <w:u w:val="single"/>
            <w:lang w:eastAsia="uk-UA"/>
          </w:rPr>
          <w:t>Протягом травня - вересня 2021 р. документи, необхідні для призначення житлової субсидії, приймаються від громадян у порядку, визначеному пунктом 9 Положення про порядок призначення житлових субсидій, затвердженого</w:t>
        </w:r>
      </w:hyperlink>
      <w:r w:rsidRPr="00556E24">
        <w:rPr>
          <w:rFonts w:ascii="Verdana" w:eastAsia="Times New Roman" w:hAnsi="Verdana" w:cs="Times New Roman"/>
          <w:color w:val="001E2B"/>
          <w:sz w:val="21"/>
          <w:szCs w:val="21"/>
          <w:lang w:eastAsia="uk-UA"/>
        </w:rPr>
        <w:t> </w:t>
      </w:r>
      <w:hyperlink r:id="rId35" w:history="1">
        <w:r w:rsidRPr="00556E24">
          <w:rPr>
            <w:rFonts w:ascii="Verdana" w:eastAsia="Times New Roman" w:hAnsi="Verdana" w:cs="Times New Roman"/>
            <w:color w:val="425BA3"/>
            <w:sz w:val="21"/>
            <w:szCs w:val="21"/>
            <w:u w:val="single"/>
            <w:lang w:eastAsia="uk-UA"/>
          </w:rPr>
          <w:t>постановою Кабінету Міністрів України від 21 жовтня 1995 р. N 848</w:t>
        </w:r>
      </w:hyperlink>
      <w:hyperlink r:id="rId36" w:history="1">
        <w:r w:rsidRPr="00556E24">
          <w:rPr>
            <w:rFonts w:ascii="Verdana" w:eastAsia="Times New Roman" w:hAnsi="Verdana" w:cs="Times New Roman"/>
            <w:color w:val="425BA3"/>
            <w:sz w:val="21"/>
            <w:szCs w:val="21"/>
            <w:u w:val="single"/>
            <w:lang w:eastAsia="uk-UA"/>
          </w:rPr>
          <w:t>, а структурними підрозділами з питань соціального захисту населення районних державних адміністрацій - також у паперовому вигляді (згідно з</w:t>
        </w:r>
      </w:hyperlink>
      <w:r w:rsidRPr="00556E24">
        <w:rPr>
          <w:rFonts w:ascii="Verdana" w:eastAsia="Times New Roman" w:hAnsi="Verdana" w:cs="Times New Roman"/>
          <w:color w:val="001E2B"/>
          <w:sz w:val="21"/>
          <w:szCs w:val="21"/>
          <w:lang w:eastAsia="uk-UA"/>
        </w:rPr>
        <w:t> </w:t>
      </w:r>
      <w:hyperlink r:id="rId37" w:history="1">
        <w:r w:rsidRPr="00556E24">
          <w:rPr>
            <w:rFonts w:ascii="Verdana" w:eastAsia="Times New Roman" w:hAnsi="Verdana" w:cs="Times New Roman"/>
            <w:color w:val="425BA3"/>
            <w:sz w:val="21"/>
            <w:szCs w:val="21"/>
            <w:u w:val="single"/>
            <w:lang w:eastAsia="uk-UA"/>
          </w:rPr>
          <w:t>постановою Кабінету Міністрів України від 14.04.2021 N 420 "Про внесення змін до деяких постанов Кабінету Міністрів України"</w:t>
        </w:r>
      </w:hyperlink>
      <w:hyperlink r:id="rId38" w:history="1">
        <w:r w:rsidRPr="00556E24">
          <w:rPr>
            <w:rFonts w:ascii="Verdana" w:eastAsia="Times New Roman" w:hAnsi="Verdana" w:cs="Times New Roman"/>
            <w:color w:val="425BA3"/>
            <w:sz w:val="21"/>
            <w:szCs w:val="21"/>
            <w:u w:val="single"/>
            <w:lang w:eastAsia="uk-UA"/>
          </w:rPr>
          <w:t>).</w:t>
        </w:r>
      </w:hyperlink>
    </w:p>
    <w:p w:rsidR="00556E24" w:rsidRPr="00556E24" w:rsidRDefault="00556E24" w:rsidP="00556E24">
      <w:pPr>
        <w:shd w:val="clear" w:color="auto" w:fill="FFFFFF"/>
        <w:spacing w:after="0" w:line="240" w:lineRule="auto"/>
        <w:ind w:firstLine="180"/>
        <w:jc w:val="center"/>
        <w:rPr>
          <w:rFonts w:ascii="Verdana" w:eastAsia="Times New Roman" w:hAnsi="Verdana" w:cs="Times New Roman"/>
          <w:color w:val="001E2B"/>
          <w:sz w:val="21"/>
          <w:szCs w:val="21"/>
          <w:lang w:eastAsia="uk-UA"/>
        </w:rPr>
      </w:pPr>
      <w:hyperlink r:id="rId39" w:history="1">
        <w:r w:rsidRPr="00556E24">
          <w:rPr>
            <w:rFonts w:ascii="Verdana" w:eastAsia="Times New Roman" w:hAnsi="Verdana" w:cs="Times New Roman"/>
            <w:color w:val="425BA3"/>
            <w:sz w:val="21"/>
            <w:szCs w:val="21"/>
            <w:u w:val="single"/>
            <w:lang w:eastAsia="uk-UA"/>
          </w:rPr>
          <w:t>** </w:t>
        </w:r>
        <w:r w:rsidRPr="00556E24">
          <w:rPr>
            <w:rFonts w:ascii="Verdana" w:eastAsia="Times New Roman" w:hAnsi="Verdana" w:cs="Times New Roman"/>
            <w:i/>
            <w:iCs/>
            <w:color w:val="425BA3"/>
            <w:sz w:val="21"/>
            <w:szCs w:val="21"/>
            <w:u w:val="single"/>
            <w:lang w:eastAsia="uk-UA"/>
          </w:rPr>
          <w:t>До утворення територіальних органів Національної соціальної сервісної служби та початку виконання відповідних функцій у повному обсязі</w:t>
        </w:r>
      </w:hyperlink>
      <w:r w:rsidRPr="00556E24">
        <w:rPr>
          <w:rFonts w:ascii="Verdana" w:eastAsia="Times New Roman" w:hAnsi="Verdana" w:cs="Times New Roman"/>
          <w:color w:val="001E2B"/>
          <w:sz w:val="21"/>
          <w:szCs w:val="21"/>
          <w:lang w:eastAsia="uk-UA"/>
        </w:rPr>
        <w:t> </w:t>
      </w:r>
      <w:hyperlink r:id="rId40" w:history="1">
        <w:r w:rsidRPr="00556E24">
          <w:rPr>
            <w:rFonts w:ascii="Verdana" w:eastAsia="Times New Roman" w:hAnsi="Verdana" w:cs="Times New Roman"/>
            <w:color w:val="425BA3"/>
            <w:sz w:val="21"/>
            <w:szCs w:val="21"/>
            <w:u w:val="single"/>
            <w:lang w:eastAsia="uk-UA"/>
          </w:rPr>
          <w:t>заява</w:t>
        </w:r>
      </w:hyperlink>
      <w:r w:rsidRPr="00556E24">
        <w:rPr>
          <w:rFonts w:ascii="Verdana" w:eastAsia="Times New Roman" w:hAnsi="Verdana" w:cs="Times New Roman"/>
          <w:color w:val="001E2B"/>
          <w:sz w:val="21"/>
          <w:szCs w:val="21"/>
          <w:lang w:eastAsia="uk-UA"/>
        </w:rPr>
        <w:t> </w:t>
      </w:r>
      <w:hyperlink r:id="rId41" w:history="1">
        <w:r w:rsidRPr="00556E24">
          <w:rPr>
            <w:rFonts w:ascii="Verdana" w:eastAsia="Times New Roman" w:hAnsi="Verdana" w:cs="Times New Roman"/>
            <w:color w:val="425BA3"/>
            <w:sz w:val="21"/>
            <w:szCs w:val="21"/>
            <w:u w:val="single"/>
            <w:lang w:eastAsia="uk-UA"/>
          </w:rPr>
          <w:t>та документи, необхідні для призначення житлової субсидії,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hyperlink>
    </w:p>
    <w:p w:rsidR="006F52D5" w:rsidRDefault="006F52D5">
      <w:bookmarkStart w:id="0" w:name="_GoBack"/>
      <w:bookmarkEnd w:id="0"/>
    </w:p>
    <w:sectPr w:rsidR="006F52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0B"/>
    <w:rsid w:val="00556E24"/>
    <w:rsid w:val="00594F0B"/>
    <w:rsid w:val="006F52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E24"/>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56E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56E24"/>
    <w:rPr>
      <w:b/>
      <w:bCs/>
    </w:rPr>
  </w:style>
  <w:style w:type="character" w:styleId="a5">
    <w:name w:val="Hyperlink"/>
    <w:basedOn w:val="a0"/>
    <w:uiPriority w:val="99"/>
    <w:semiHidden/>
    <w:unhideWhenUsed/>
    <w:rsid w:val="00556E24"/>
    <w:rPr>
      <w:color w:val="0000FF"/>
      <w:u w:val="single"/>
    </w:rPr>
  </w:style>
  <w:style w:type="character" w:styleId="a6">
    <w:name w:val="Emphasis"/>
    <w:basedOn w:val="a0"/>
    <w:uiPriority w:val="20"/>
    <w:qFormat/>
    <w:rsid w:val="00556E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E24"/>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56E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56E24"/>
    <w:rPr>
      <w:b/>
      <w:bCs/>
    </w:rPr>
  </w:style>
  <w:style w:type="character" w:styleId="a5">
    <w:name w:val="Hyperlink"/>
    <w:basedOn w:val="a0"/>
    <w:uiPriority w:val="99"/>
    <w:semiHidden/>
    <w:unhideWhenUsed/>
    <w:rsid w:val="00556E24"/>
    <w:rPr>
      <w:color w:val="0000FF"/>
      <w:u w:val="single"/>
    </w:rPr>
  </w:style>
  <w:style w:type="character" w:styleId="a6">
    <w:name w:val="Emphasis"/>
    <w:basedOn w:val="a0"/>
    <w:uiPriority w:val="20"/>
    <w:qFormat/>
    <w:rsid w:val="00556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3836">
      <w:bodyDiv w:val="1"/>
      <w:marLeft w:val="0"/>
      <w:marRight w:val="0"/>
      <w:marTop w:val="0"/>
      <w:marBottom w:val="0"/>
      <w:divBdr>
        <w:top w:val="none" w:sz="0" w:space="0" w:color="auto"/>
        <w:left w:val="none" w:sz="0" w:space="0" w:color="auto"/>
        <w:bottom w:val="none" w:sz="0" w:space="0" w:color="auto"/>
        <w:right w:val="none" w:sz="0" w:space="0" w:color="auto"/>
      </w:divBdr>
      <w:divsChild>
        <w:div w:id="183252433">
          <w:marLeft w:val="0"/>
          <w:marRight w:val="0"/>
          <w:marTop w:val="0"/>
          <w:marBottom w:val="0"/>
          <w:divBdr>
            <w:top w:val="none" w:sz="0" w:space="0" w:color="auto"/>
            <w:left w:val="none" w:sz="0" w:space="0" w:color="auto"/>
            <w:bottom w:val="none" w:sz="0" w:space="0" w:color="auto"/>
            <w:right w:val="none" w:sz="0" w:space="0" w:color="auto"/>
          </w:divBdr>
        </w:div>
        <w:div w:id="145012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FN069618?ed=2021_07_30&amp;an=41" TargetMode="External"/><Relationship Id="rId13" Type="http://schemas.openxmlformats.org/officeDocument/2006/relationships/hyperlink" Target="https://ips.ligazakon.net/document/view/FN069618?ed=2021_07_30&amp;an=45" TargetMode="External"/><Relationship Id="rId18" Type="http://schemas.openxmlformats.org/officeDocument/2006/relationships/hyperlink" Target="https://ips.ligazakon.net/document/view/FN069618?ed=2021_07_30&amp;an=50" TargetMode="External"/><Relationship Id="rId26" Type="http://schemas.openxmlformats.org/officeDocument/2006/relationships/hyperlink" Target="https://ips.ligazakon.net/document/view/RE32000?ed=2021_06_14&amp;an=858" TargetMode="External"/><Relationship Id="rId39" Type="http://schemas.openxmlformats.org/officeDocument/2006/relationships/hyperlink" Target="https://ips.ligazakon.net/document/view/FN069618?ed=2021_07_30&amp;an=59" TargetMode="External"/><Relationship Id="rId3" Type="http://schemas.openxmlformats.org/officeDocument/2006/relationships/settings" Target="settings.xml"/><Relationship Id="rId21" Type="http://schemas.openxmlformats.org/officeDocument/2006/relationships/hyperlink" Target="https://ips.ligazakon.net/document/view/FN069618?ed=2021_07_30&amp;an=51" TargetMode="External"/><Relationship Id="rId34" Type="http://schemas.openxmlformats.org/officeDocument/2006/relationships/hyperlink" Target="https://ips.ligazakon.net/document/view/FN069618?ed=2021_07_30&amp;an=58" TargetMode="External"/><Relationship Id="rId42" Type="http://schemas.openxmlformats.org/officeDocument/2006/relationships/fontTable" Target="fontTable.xml"/><Relationship Id="rId7" Type="http://schemas.openxmlformats.org/officeDocument/2006/relationships/hyperlink" Target="https://ips.ligazakon.net/document/view/FN069618?ed=2021_07_30&amp;an=40" TargetMode="External"/><Relationship Id="rId12" Type="http://schemas.openxmlformats.org/officeDocument/2006/relationships/hyperlink" Target="https://ips.ligazakon.net/document/view/FN069618?ed=2021_07_30&amp;an=44" TargetMode="External"/><Relationship Id="rId17" Type="http://schemas.openxmlformats.org/officeDocument/2006/relationships/hyperlink" Target="https://ips.ligazakon.net/document/view/FN069618?ed=2021_07_30&amp;an=49" TargetMode="External"/><Relationship Id="rId25" Type="http://schemas.openxmlformats.org/officeDocument/2006/relationships/hyperlink" Target="https://ips.ligazakon.net/document/view/FN069618?ed=2021_07_30&amp;an=51" TargetMode="External"/><Relationship Id="rId33" Type="http://schemas.openxmlformats.org/officeDocument/2006/relationships/hyperlink" Target="https://ips.ligazakon.net/document/view/FN069618?ed=2021_07_30&amp;an=57" TargetMode="External"/><Relationship Id="rId38" Type="http://schemas.openxmlformats.org/officeDocument/2006/relationships/hyperlink" Target="https://ips.ligazakon.net/document/view/FN069618?ed=2021_07_30&amp;an=58" TargetMode="External"/><Relationship Id="rId2" Type="http://schemas.microsoft.com/office/2007/relationships/stylesWithEffects" Target="stylesWithEffects.xml"/><Relationship Id="rId16" Type="http://schemas.openxmlformats.org/officeDocument/2006/relationships/hyperlink" Target="https://ips.ligazakon.net/document/view/FN069618?ed=2021_07_30&amp;an=48" TargetMode="External"/><Relationship Id="rId20" Type="http://schemas.openxmlformats.org/officeDocument/2006/relationships/hyperlink" Target="https://ips.ligazakon.net/document/view/T190361?ed=2021_07_01" TargetMode="External"/><Relationship Id="rId29" Type="http://schemas.openxmlformats.org/officeDocument/2006/relationships/hyperlink" Target="https://ips.ligazakon.net/document/view/FN069618?ed=2021_07_30&amp;an=53" TargetMode="External"/><Relationship Id="rId41" Type="http://schemas.openxmlformats.org/officeDocument/2006/relationships/hyperlink" Target="https://ips.ligazakon.net/document/view/FN069618?ed=2021_07_30&amp;an=59" TargetMode="External"/><Relationship Id="rId1" Type="http://schemas.openxmlformats.org/officeDocument/2006/relationships/styles" Target="styles.xml"/><Relationship Id="rId6" Type="http://schemas.openxmlformats.org/officeDocument/2006/relationships/hyperlink" Target="https://imr.gov.ua/upravlinnya-pratsi-ta-sotsialnogo-zakhistu-naselennya" TargetMode="External"/><Relationship Id="rId11" Type="http://schemas.openxmlformats.org/officeDocument/2006/relationships/hyperlink" Target="https://ips.ligazakon.net/document/view/FN069618?ed=2021_07_30&amp;an=43" TargetMode="External"/><Relationship Id="rId24" Type="http://schemas.openxmlformats.org/officeDocument/2006/relationships/hyperlink" Target="https://ips.ligazakon.net/document/view/RE32000?ed=2021_06_14&amp;an=858" TargetMode="External"/><Relationship Id="rId32" Type="http://schemas.openxmlformats.org/officeDocument/2006/relationships/hyperlink" Target="https://ips.ligazakon.net/document/view/FN069618?ed=2021_07_30&amp;an=56" TargetMode="External"/><Relationship Id="rId37" Type="http://schemas.openxmlformats.org/officeDocument/2006/relationships/hyperlink" Target="https://ips.ligazakon.net/document/view/KP210420?ed=2021_05_19" TargetMode="External"/><Relationship Id="rId40" Type="http://schemas.openxmlformats.org/officeDocument/2006/relationships/hyperlink" Target="https://ips.ligazakon.net/document/view/RE32000?ed=2021_06_14&amp;an=754" TargetMode="External"/><Relationship Id="rId5" Type="http://schemas.openxmlformats.org/officeDocument/2006/relationships/hyperlink" Target="mailto:irpin-mupszn@ukr.net" TargetMode="External"/><Relationship Id="rId15" Type="http://schemas.openxmlformats.org/officeDocument/2006/relationships/hyperlink" Target="https://ips.ligazakon.net/document/view/FN069618?ed=2021_07_30&amp;an=47" TargetMode="External"/><Relationship Id="rId23" Type="http://schemas.openxmlformats.org/officeDocument/2006/relationships/hyperlink" Target="https://ips.ligazakon.net/document/view/FN069618?ed=2021_07_30&amp;an=51" TargetMode="External"/><Relationship Id="rId28" Type="http://schemas.openxmlformats.org/officeDocument/2006/relationships/hyperlink" Target="https://ips.ligazakon.net/document/view/FN069618?ed=2021_07_30&amp;an=52" TargetMode="External"/><Relationship Id="rId36" Type="http://schemas.openxmlformats.org/officeDocument/2006/relationships/hyperlink" Target="https://ips.ligazakon.net/document/view/FN069618?ed=2021_07_30&amp;an=58" TargetMode="External"/><Relationship Id="rId10" Type="http://schemas.openxmlformats.org/officeDocument/2006/relationships/hyperlink" Target="https://ips.ligazakon.net/document/view/FN069618?ed=2021_07_30&amp;an=42" TargetMode="External"/><Relationship Id="rId19" Type="http://schemas.openxmlformats.org/officeDocument/2006/relationships/hyperlink" Target="https://ips.ligazakon.net/document/view/FN069618?ed=2021_07_30&amp;an=51" TargetMode="External"/><Relationship Id="rId31" Type="http://schemas.openxmlformats.org/officeDocument/2006/relationships/hyperlink" Target="https://ips.ligazakon.net/document/view/FN069618?ed=2021_07_30&amp;an=55" TargetMode="External"/><Relationship Id="rId4" Type="http://schemas.openxmlformats.org/officeDocument/2006/relationships/webSettings" Target="webSettings.xml"/><Relationship Id="rId9" Type="http://schemas.openxmlformats.org/officeDocument/2006/relationships/hyperlink" Target="https://ips.ligazakon.net/document/view/RE32000?ed=2021_06_14&amp;an=754" TargetMode="External"/><Relationship Id="rId14" Type="http://schemas.openxmlformats.org/officeDocument/2006/relationships/hyperlink" Target="https://ips.ligazakon.net/document/view/FN069618?ed=2021_07_30&amp;an=46" TargetMode="External"/><Relationship Id="rId22" Type="http://schemas.openxmlformats.org/officeDocument/2006/relationships/hyperlink" Target="https://ips.ligazakon.net/document/view/KP140505?ed=2021_04_21&amp;an=17" TargetMode="External"/><Relationship Id="rId27" Type="http://schemas.openxmlformats.org/officeDocument/2006/relationships/hyperlink" Target="https://ips.ligazakon.net/document/view/FN069618?ed=2021_07_30&amp;an=51" TargetMode="External"/><Relationship Id="rId30" Type="http://schemas.openxmlformats.org/officeDocument/2006/relationships/hyperlink" Target="https://ips.ligazakon.net/document/view/FN069618?ed=2021_07_30&amp;an=54" TargetMode="External"/><Relationship Id="rId35" Type="http://schemas.openxmlformats.org/officeDocument/2006/relationships/hyperlink" Target="https://ips.ligazakon.net/document/view/KP950848?ed=2021_05_19&amp;an=92789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11153</Words>
  <Characters>6358</Characters>
  <DocSecurity>0</DocSecurity>
  <Lines>52</Lines>
  <Paragraphs>34</Paragraphs>
  <ScaleCrop>false</ScaleCrop>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2023-05-24T22:51:00Z</dcterms:created>
  <dcterms:modified xsi:type="dcterms:W3CDTF">2023-05-24T22:51:00Z</dcterms:modified>
</cp:coreProperties>
</file>